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AB1" w:rsidRPr="002959D3" w:rsidRDefault="00A15AB1" w:rsidP="00A15AB1">
      <w:pPr>
        <w:spacing w:after="100" w:line="240" w:lineRule="auto"/>
        <w:outlineLvl w:val="0"/>
        <w:rPr>
          <w:rFonts w:ascii="Tahoma" w:hAnsi="Tahoma" w:cs="Tahoma"/>
          <w:b/>
          <w:sz w:val="40"/>
          <w:szCs w:val="40"/>
        </w:rPr>
      </w:pPr>
      <w:r w:rsidRPr="002959D3">
        <w:rPr>
          <w:rFonts w:ascii="Tahoma" w:hAnsi="Tahoma" w:cs="Tahoma"/>
          <w:b/>
          <w:noProof/>
          <w:sz w:val="40"/>
          <w:szCs w:val="40"/>
        </w:rPr>
        <w:t>Unit 1</w:t>
      </w:r>
      <w:r>
        <w:rPr>
          <w:rFonts w:ascii="Tahoma" w:hAnsi="Tahoma" w:cs="Tahoma"/>
          <w:b/>
          <w:sz w:val="40"/>
          <w:szCs w:val="40"/>
        </w:rPr>
        <w:t xml:space="preserve"> – Thematic/Cross-Content for </w:t>
      </w:r>
      <w:r w:rsidRPr="00A15AB1">
        <w:rPr>
          <w:rFonts w:ascii="Tahoma" w:hAnsi="Tahoma" w:cs="Tahoma"/>
          <w:b/>
          <w:sz w:val="40"/>
          <w:szCs w:val="40"/>
          <w:u w:val="single"/>
        </w:rPr>
        <w:t>Crash</w:t>
      </w:r>
    </w:p>
    <w:p w:rsidR="00A15AB1" w:rsidRPr="008E4CB5" w:rsidRDefault="00A15AB1" w:rsidP="00A15AB1">
      <w:pPr>
        <w:spacing w:after="0" w:line="240" w:lineRule="auto"/>
        <w:rPr>
          <w:rFonts w:ascii="Tahoma" w:hAnsi="Tahoma" w:cs="Tahoma"/>
          <w:sz w:val="20"/>
          <w:szCs w:val="20"/>
        </w:rPr>
      </w:pPr>
      <w:r w:rsidRPr="008E4CB5">
        <w:rPr>
          <w:rFonts w:ascii="Tahoma" w:hAnsi="Tahoma" w:cs="Tahoma"/>
          <w:sz w:val="20"/>
          <w:szCs w:val="20"/>
        </w:rPr>
        <w:t xml:space="preserve">Content Area: </w:t>
      </w:r>
      <w:r w:rsidRPr="008E4CB5">
        <w:rPr>
          <w:rFonts w:ascii="Tahoma" w:hAnsi="Tahoma" w:cs="Tahoma"/>
          <w:sz w:val="20"/>
          <w:szCs w:val="20"/>
        </w:rPr>
        <w:tab/>
      </w:r>
      <w:r w:rsidRPr="008E4CB5">
        <w:rPr>
          <w:rFonts w:ascii="Tahoma" w:hAnsi="Tahoma" w:cs="Tahoma"/>
          <w:b/>
          <w:noProof/>
          <w:sz w:val="20"/>
          <w:szCs w:val="20"/>
        </w:rPr>
        <w:t>Mathematics</w:t>
      </w:r>
      <w:r w:rsidRPr="008E4CB5">
        <w:rPr>
          <w:rFonts w:ascii="Tahoma" w:hAnsi="Tahoma" w:cs="Tahoma"/>
          <w:sz w:val="20"/>
          <w:szCs w:val="20"/>
        </w:rPr>
        <w:br/>
        <w:t xml:space="preserve">Course(s): </w:t>
      </w:r>
      <w:r w:rsidRPr="008E4CB5">
        <w:rPr>
          <w:rFonts w:ascii="Tahoma" w:hAnsi="Tahoma" w:cs="Tahoma"/>
          <w:sz w:val="20"/>
          <w:szCs w:val="20"/>
        </w:rPr>
        <w:tab/>
      </w:r>
      <w:r w:rsidR="001057F4">
        <w:rPr>
          <w:rFonts w:ascii="Tahoma" w:hAnsi="Tahoma" w:cs="Tahoma"/>
          <w:sz w:val="20"/>
          <w:szCs w:val="20"/>
        </w:rPr>
        <w:t>7</w:t>
      </w:r>
      <w:r w:rsidR="001057F4" w:rsidRPr="001057F4">
        <w:rPr>
          <w:rFonts w:ascii="Tahoma" w:hAnsi="Tahoma" w:cs="Tahoma"/>
          <w:sz w:val="20"/>
          <w:szCs w:val="20"/>
          <w:vertAlign w:val="superscript"/>
        </w:rPr>
        <w:t>th</w:t>
      </w:r>
      <w:r w:rsidR="001057F4">
        <w:rPr>
          <w:rFonts w:ascii="Tahoma" w:hAnsi="Tahoma" w:cs="Tahoma"/>
          <w:sz w:val="20"/>
          <w:szCs w:val="20"/>
        </w:rPr>
        <w:t>/8</w:t>
      </w:r>
      <w:r w:rsidR="001057F4" w:rsidRPr="001057F4">
        <w:rPr>
          <w:rFonts w:ascii="Tahoma" w:hAnsi="Tahoma" w:cs="Tahoma"/>
          <w:sz w:val="20"/>
          <w:szCs w:val="20"/>
          <w:vertAlign w:val="superscript"/>
        </w:rPr>
        <w:t>th</w:t>
      </w:r>
      <w:r w:rsidR="001057F4">
        <w:rPr>
          <w:rFonts w:ascii="Tahoma" w:hAnsi="Tahoma" w:cs="Tahoma"/>
          <w:sz w:val="20"/>
          <w:szCs w:val="20"/>
        </w:rPr>
        <w:t xml:space="preserve"> grade</w:t>
      </w:r>
      <w:r w:rsidRPr="008E4CB5">
        <w:rPr>
          <w:rFonts w:ascii="Tahoma" w:hAnsi="Tahoma" w:cs="Tahoma"/>
          <w:sz w:val="20"/>
          <w:szCs w:val="20"/>
        </w:rPr>
        <w:br/>
        <w:t xml:space="preserve">Time Period: </w:t>
      </w:r>
      <w:r w:rsidRPr="008E4CB5">
        <w:rPr>
          <w:rFonts w:ascii="Tahoma" w:hAnsi="Tahoma" w:cs="Tahoma"/>
          <w:sz w:val="20"/>
          <w:szCs w:val="20"/>
        </w:rPr>
        <w:tab/>
      </w:r>
      <w:r w:rsidRPr="008E4CB5">
        <w:rPr>
          <w:rFonts w:ascii="Tahoma" w:hAnsi="Tahoma" w:cs="Tahoma"/>
          <w:b/>
          <w:noProof/>
          <w:sz w:val="20"/>
          <w:szCs w:val="20"/>
        </w:rPr>
        <w:t>September</w:t>
      </w:r>
      <w:r w:rsidRPr="008E4CB5">
        <w:rPr>
          <w:rFonts w:ascii="Tahoma" w:hAnsi="Tahoma" w:cs="Tahoma"/>
          <w:sz w:val="20"/>
          <w:szCs w:val="20"/>
        </w:rPr>
        <w:br/>
        <w:t xml:space="preserve">Length: </w:t>
      </w:r>
      <w:r w:rsidRPr="008E4CB5">
        <w:rPr>
          <w:rFonts w:ascii="Tahoma" w:hAnsi="Tahoma" w:cs="Tahoma"/>
          <w:sz w:val="20"/>
          <w:szCs w:val="20"/>
        </w:rPr>
        <w:tab/>
      </w:r>
      <w:r w:rsidR="001057F4">
        <w:rPr>
          <w:rFonts w:ascii="Tahoma" w:hAnsi="Tahoma" w:cs="Tahoma"/>
          <w:b/>
          <w:noProof/>
          <w:sz w:val="20"/>
          <w:szCs w:val="20"/>
        </w:rPr>
        <w:t>1 week</w:t>
      </w:r>
      <w:r w:rsidRPr="008E4CB5">
        <w:rPr>
          <w:rFonts w:ascii="Tahoma" w:hAnsi="Tahoma" w:cs="Tahoma"/>
          <w:sz w:val="20"/>
          <w:szCs w:val="20"/>
        </w:rPr>
        <w:br/>
        <w:t xml:space="preserve">Status: </w:t>
      </w:r>
      <w:r w:rsidRPr="008E4CB5">
        <w:rPr>
          <w:rFonts w:ascii="Tahoma" w:hAnsi="Tahoma" w:cs="Tahoma"/>
          <w:sz w:val="20"/>
          <w:szCs w:val="20"/>
        </w:rPr>
        <w:tab/>
      </w:r>
      <w:r w:rsidRPr="008E4CB5">
        <w:rPr>
          <w:rFonts w:ascii="Tahoma" w:hAnsi="Tahoma" w:cs="Tahoma"/>
          <w:sz w:val="20"/>
          <w:szCs w:val="20"/>
        </w:rPr>
        <w:tab/>
      </w:r>
      <w:r w:rsidRPr="008E4CB5">
        <w:rPr>
          <w:rFonts w:ascii="Tahoma" w:hAnsi="Tahoma" w:cs="Tahoma"/>
          <w:b/>
          <w:noProof/>
          <w:sz w:val="20"/>
          <w:szCs w:val="20"/>
        </w:rPr>
        <w:t>Published</w:t>
      </w:r>
    </w:p>
    <w:tbl>
      <w:tblPr>
        <w:tblW w:w="11424" w:type="dxa"/>
        <w:tblInd w:w="138" w:type="dxa"/>
        <w:tblLook w:val="0000"/>
      </w:tblPr>
      <w:tblGrid>
        <w:gridCol w:w="1302"/>
        <w:gridCol w:w="9570"/>
        <w:gridCol w:w="552"/>
      </w:tblGrid>
      <w:tr w:rsidR="00A15AB1" w:rsidRPr="00D96781" w:rsidTr="003672A8">
        <w:trPr>
          <w:gridAfter w:val="1"/>
          <w:wAfter w:w="552" w:type="dxa"/>
          <w:trHeight w:val="165"/>
        </w:trPr>
        <w:tc>
          <w:tcPr>
            <w:tcW w:w="10872" w:type="dxa"/>
            <w:gridSpan w:val="2"/>
            <w:tcBorders>
              <w:bottom w:val="single" w:sz="8" w:space="0" w:color="auto"/>
            </w:tcBorders>
            <w:shd w:val="clear" w:color="auto" w:fill="FFFFFF"/>
            <w:vAlign w:val="center"/>
          </w:tcPr>
          <w:p w:rsidR="00A15AB1" w:rsidRPr="00D96781" w:rsidRDefault="00A15AB1" w:rsidP="006746C9">
            <w:pPr>
              <w:spacing w:after="0" w:line="240" w:lineRule="auto"/>
              <w:rPr>
                <w:rFonts w:cs="Calibri"/>
                <w:sz w:val="16"/>
                <w:szCs w:val="16"/>
              </w:rPr>
            </w:pPr>
            <w:r w:rsidRPr="00FF4641">
              <w:rPr>
                <w:rFonts w:ascii="Tahoma" w:hAnsi="Tahoma" w:cs="Tahoma"/>
                <w:b/>
                <w:noProof/>
                <w:color w:val="292929"/>
                <w:sz w:val="24"/>
                <w:szCs w:val="24"/>
              </w:rPr>
              <w:t>Unit Overview</w:t>
            </w:r>
          </w:p>
        </w:tc>
      </w:tr>
      <w:tr w:rsidR="00A15AB1" w:rsidTr="003672A8">
        <w:trPr>
          <w:gridAfter w:val="1"/>
          <w:wAfter w:w="552" w:type="dxa"/>
          <w:trHeight w:val="165"/>
        </w:trPr>
        <w:tc>
          <w:tcPr>
            <w:tcW w:w="10872" w:type="dxa"/>
            <w:gridSpan w:val="2"/>
          </w:tcPr>
          <w:p w:rsidR="00A15AB1" w:rsidRDefault="00A15AB1" w:rsidP="009E0F54">
            <w:pPr>
              <w:spacing w:after="280" w:afterAutospacing="1"/>
              <w:rPr>
                <w:sz w:val="16"/>
                <w:szCs w:val="16"/>
              </w:rPr>
            </w:pPr>
            <w:r>
              <w:rPr>
                <w:sz w:val="24"/>
                <w:szCs w:val="24"/>
              </w:rPr>
              <w:t>This unit focuses on the Ratios and Proportional Relationships (RP) domain</w:t>
            </w:r>
            <w:r w:rsidR="009E0F54">
              <w:rPr>
                <w:sz w:val="24"/>
                <w:szCs w:val="24"/>
              </w:rPr>
              <w:t xml:space="preserve"> and how it is connected to the real world of football.</w:t>
            </w:r>
          </w:p>
        </w:tc>
      </w:tr>
      <w:tr w:rsidR="00A15AB1" w:rsidRPr="00D96781" w:rsidTr="003672A8">
        <w:trPr>
          <w:gridAfter w:val="1"/>
          <w:wAfter w:w="552" w:type="dxa"/>
          <w:trHeight w:val="165"/>
        </w:trPr>
        <w:tc>
          <w:tcPr>
            <w:tcW w:w="10872" w:type="dxa"/>
            <w:gridSpan w:val="2"/>
            <w:tcBorders>
              <w:bottom w:val="single" w:sz="8" w:space="0" w:color="auto"/>
            </w:tcBorders>
            <w:shd w:val="clear" w:color="auto" w:fill="FFFFFF"/>
            <w:vAlign w:val="center"/>
          </w:tcPr>
          <w:p w:rsidR="00A15AB1" w:rsidRPr="00D96781" w:rsidRDefault="00A15AB1" w:rsidP="006746C9">
            <w:pPr>
              <w:spacing w:after="0" w:line="240" w:lineRule="auto"/>
              <w:rPr>
                <w:rFonts w:cs="Calibri"/>
                <w:sz w:val="16"/>
                <w:szCs w:val="16"/>
              </w:rPr>
            </w:pPr>
            <w:r w:rsidRPr="00FF4641">
              <w:rPr>
                <w:rFonts w:ascii="Tahoma" w:hAnsi="Tahoma" w:cs="Tahoma"/>
                <w:b/>
                <w:noProof/>
                <w:color w:val="292929"/>
                <w:sz w:val="24"/>
                <w:szCs w:val="24"/>
              </w:rPr>
              <w:t>Essential Questions</w:t>
            </w:r>
          </w:p>
        </w:tc>
      </w:tr>
      <w:tr w:rsidR="00A15AB1" w:rsidTr="003672A8">
        <w:trPr>
          <w:gridAfter w:val="1"/>
          <w:wAfter w:w="552" w:type="dxa"/>
          <w:trHeight w:val="165"/>
        </w:trPr>
        <w:tc>
          <w:tcPr>
            <w:tcW w:w="10872" w:type="dxa"/>
            <w:gridSpan w:val="2"/>
          </w:tcPr>
          <w:p w:rsidR="00A15AB1" w:rsidRPr="003672A8" w:rsidRDefault="00A15AB1" w:rsidP="003672A8">
            <w:pPr>
              <w:pStyle w:val="ListParagraph"/>
              <w:numPr>
                <w:ilvl w:val="0"/>
                <w:numId w:val="1"/>
              </w:numPr>
              <w:spacing w:after="280" w:afterAutospacing="1"/>
              <w:rPr>
                <w:sz w:val="16"/>
                <w:szCs w:val="16"/>
              </w:rPr>
            </w:pPr>
            <w:r w:rsidRPr="003672A8">
              <w:rPr>
                <w:sz w:val="24"/>
                <w:szCs w:val="24"/>
              </w:rPr>
              <w:t>“How can you use mathematics to</w:t>
            </w:r>
            <w:r w:rsidR="00146C4D" w:rsidRPr="003672A8">
              <w:rPr>
                <w:sz w:val="24"/>
                <w:szCs w:val="24"/>
              </w:rPr>
              <w:t xml:space="preserve"> </w:t>
            </w:r>
            <w:r w:rsidRPr="003672A8">
              <w:rPr>
                <w:sz w:val="24"/>
                <w:szCs w:val="24"/>
              </w:rPr>
              <w:t>describe change and model real-world situations?” </w:t>
            </w:r>
          </w:p>
          <w:p w:rsidR="00A15AB1" w:rsidRDefault="00A15AB1" w:rsidP="003672A8">
            <w:pPr>
              <w:pStyle w:val="ListParagraph"/>
              <w:numPr>
                <w:ilvl w:val="0"/>
                <w:numId w:val="1"/>
              </w:numPr>
              <w:spacing w:after="280" w:afterAutospacing="1"/>
            </w:pPr>
            <w:r w:rsidRPr="003672A8">
              <w:rPr>
                <w:sz w:val="24"/>
                <w:szCs w:val="24"/>
              </w:rPr>
              <w:t>"How can you show that two objects are proportional?"</w:t>
            </w:r>
          </w:p>
          <w:p w:rsidR="00A15AB1" w:rsidRPr="003672A8" w:rsidRDefault="00A15AB1" w:rsidP="003672A8">
            <w:pPr>
              <w:pStyle w:val="ListParagraph"/>
              <w:numPr>
                <w:ilvl w:val="0"/>
                <w:numId w:val="1"/>
              </w:numPr>
              <w:spacing w:after="280" w:afterAutospacing="1"/>
            </w:pPr>
            <w:r w:rsidRPr="003672A8">
              <w:rPr>
                <w:sz w:val="24"/>
                <w:szCs w:val="24"/>
              </w:rPr>
              <w:t>"How can percent help you understand situations involving money?"</w:t>
            </w:r>
          </w:p>
        </w:tc>
      </w:tr>
      <w:tr w:rsidR="00A15AB1" w:rsidRPr="00D96781" w:rsidTr="003672A8">
        <w:trPr>
          <w:gridAfter w:val="1"/>
          <w:wAfter w:w="552" w:type="dxa"/>
          <w:trHeight w:val="165"/>
        </w:trPr>
        <w:tc>
          <w:tcPr>
            <w:tcW w:w="10872" w:type="dxa"/>
            <w:gridSpan w:val="2"/>
            <w:tcBorders>
              <w:bottom w:val="single" w:sz="8" w:space="0" w:color="auto"/>
            </w:tcBorders>
            <w:shd w:val="clear" w:color="auto" w:fill="FFFFFF"/>
            <w:vAlign w:val="center"/>
          </w:tcPr>
          <w:p w:rsidR="00A15AB1" w:rsidRPr="00D96781" w:rsidRDefault="00A15AB1" w:rsidP="006746C9">
            <w:pPr>
              <w:spacing w:after="0" w:line="240" w:lineRule="auto"/>
              <w:rPr>
                <w:rFonts w:cs="Calibri"/>
                <w:sz w:val="16"/>
                <w:szCs w:val="16"/>
              </w:rPr>
            </w:pPr>
            <w:r w:rsidRPr="00FF4641">
              <w:rPr>
                <w:rFonts w:ascii="Tahoma" w:hAnsi="Tahoma" w:cs="Tahoma"/>
                <w:b/>
                <w:noProof/>
                <w:color w:val="292929"/>
                <w:sz w:val="24"/>
                <w:szCs w:val="24"/>
              </w:rPr>
              <w:t>Content</w:t>
            </w:r>
          </w:p>
        </w:tc>
      </w:tr>
      <w:tr w:rsidR="00A15AB1" w:rsidTr="003672A8">
        <w:trPr>
          <w:gridAfter w:val="1"/>
          <w:wAfter w:w="552" w:type="dxa"/>
          <w:trHeight w:val="165"/>
        </w:trPr>
        <w:tc>
          <w:tcPr>
            <w:tcW w:w="10872" w:type="dxa"/>
            <w:gridSpan w:val="2"/>
          </w:tcPr>
          <w:p w:rsidR="00A15AB1" w:rsidRPr="003672A8" w:rsidRDefault="00A15AB1" w:rsidP="003672A8">
            <w:pPr>
              <w:pStyle w:val="ListParagraph"/>
              <w:numPr>
                <w:ilvl w:val="0"/>
                <w:numId w:val="2"/>
              </w:numPr>
              <w:spacing w:after="280" w:afterAutospacing="1"/>
              <w:rPr>
                <w:sz w:val="16"/>
                <w:szCs w:val="16"/>
              </w:rPr>
            </w:pPr>
            <w:r w:rsidRPr="003672A8">
              <w:rPr>
                <w:sz w:val="24"/>
                <w:szCs w:val="24"/>
              </w:rPr>
              <w:t>Rates</w:t>
            </w:r>
          </w:p>
          <w:p w:rsidR="00A15AB1" w:rsidRDefault="00A15AB1" w:rsidP="003672A8">
            <w:pPr>
              <w:pStyle w:val="ListParagraph"/>
              <w:numPr>
                <w:ilvl w:val="0"/>
                <w:numId w:val="2"/>
              </w:numPr>
              <w:spacing w:after="280" w:afterAutospacing="1"/>
            </w:pPr>
            <w:r w:rsidRPr="003672A8">
              <w:rPr>
                <w:sz w:val="24"/>
                <w:szCs w:val="24"/>
              </w:rPr>
              <w:t>Complex Fractions and Unit Rates</w:t>
            </w:r>
          </w:p>
          <w:p w:rsidR="00A15AB1" w:rsidRDefault="00A15AB1" w:rsidP="003672A8">
            <w:pPr>
              <w:pStyle w:val="ListParagraph"/>
              <w:numPr>
                <w:ilvl w:val="0"/>
                <w:numId w:val="2"/>
              </w:numPr>
              <w:spacing w:after="280" w:afterAutospacing="1"/>
            </w:pPr>
            <w:r w:rsidRPr="003672A8">
              <w:rPr>
                <w:sz w:val="24"/>
                <w:szCs w:val="24"/>
              </w:rPr>
              <w:t>Convert Unit Rates</w:t>
            </w:r>
          </w:p>
          <w:p w:rsidR="00A15AB1" w:rsidRDefault="00A15AB1" w:rsidP="003672A8">
            <w:pPr>
              <w:pStyle w:val="ListParagraph"/>
              <w:numPr>
                <w:ilvl w:val="0"/>
                <w:numId w:val="2"/>
              </w:numPr>
              <w:spacing w:after="280" w:afterAutospacing="1"/>
            </w:pPr>
            <w:r w:rsidRPr="003672A8">
              <w:rPr>
                <w:sz w:val="24"/>
                <w:szCs w:val="24"/>
              </w:rPr>
              <w:t>Proportional and Non</w:t>
            </w:r>
            <w:r w:rsidR="00146C4D" w:rsidRPr="003672A8">
              <w:rPr>
                <w:sz w:val="24"/>
                <w:szCs w:val="24"/>
              </w:rPr>
              <w:t>-</w:t>
            </w:r>
            <w:r w:rsidRPr="003672A8">
              <w:rPr>
                <w:sz w:val="24"/>
                <w:szCs w:val="24"/>
              </w:rPr>
              <w:t>proportional Relationships</w:t>
            </w:r>
          </w:p>
          <w:p w:rsidR="00A15AB1" w:rsidRDefault="00A15AB1" w:rsidP="003672A8">
            <w:pPr>
              <w:pStyle w:val="ListParagraph"/>
              <w:numPr>
                <w:ilvl w:val="0"/>
                <w:numId w:val="2"/>
              </w:numPr>
              <w:spacing w:after="280" w:afterAutospacing="1"/>
            </w:pPr>
            <w:r w:rsidRPr="003672A8">
              <w:rPr>
                <w:sz w:val="24"/>
                <w:szCs w:val="24"/>
              </w:rPr>
              <w:t>Percent of a Number</w:t>
            </w:r>
          </w:p>
          <w:p w:rsidR="00A15AB1" w:rsidRDefault="00A15AB1" w:rsidP="003672A8">
            <w:pPr>
              <w:pStyle w:val="ListParagraph"/>
              <w:numPr>
                <w:ilvl w:val="0"/>
                <w:numId w:val="2"/>
              </w:numPr>
              <w:spacing w:after="280" w:afterAutospacing="1"/>
            </w:pPr>
            <w:r w:rsidRPr="003672A8">
              <w:rPr>
                <w:sz w:val="24"/>
                <w:szCs w:val="24"/>
              </w:rPr>
              <w:t>Percent and Estimation</w:t>
            </w:r>
          </w:p>
          <w:p w:rsidR="00A15AB1" w:rsidRDefault="00A15AB1" w:rsidP="003672A8">
            <w:pPr>
              <w:pStyle w:val="ListParagraph"/>
              <w:numPr>
                <w:ilvl w:val="0"/>
                <w:numId w:val="2"/>
              </w:numPr>
              <w:spacing w:after="280" w:afterAutospacing="1"/>
            </w:pPr>
            <w:r w:rsidRPr="003672A8">
              <w:rPr>
                <w:sz w:val="24"/>
                <w:szCs w:val="24"/>
              </w:rPr>
              <w:t>The Percent Proportion</w:t>
            </w:r>
          </w:p>
          <w:p w:rsidR="00A15AB1" w:rsidRDefault="00A15AB1" w:rsidP="003672A8">
            <w:pPr>
              <w:pStyle w:val="ListParagraph"/>
              <w:numPr>
                <w:ilvl w:val="0"/>
                <w:numId w:val="2"/>
              </w:numPr>
              <w:spacing w:after="280" w:afterAutospacing="1"/>
            </w:pPr>
            <w:r w:rsidRPr="003672A8">
              <w:rPr>
                <w:sz w:val="24"/>
                <w:szCs w:val="24"/>
              </w:rPr>
              <w:t>The Percent Equation</w:t>
            </w:r>
          </w:p>
          <w:p w:rsidR="00A15AB1" w:rsidRDefault="00A15AB1" w:rsidP="003672A8">
            <w:pPr>
              <w:pStyle w:val="ListParagraph"/>
              <w:numPr>
                <w:ilvl w:val="0"/>
                <w:numId w:val="2"/>
              </w:numPr>
              <w:spacing w:after="280" w:afterAutospacing="1"/>
            </w:pPr>
            <w:r w:rsidRPr="003672A8">
              <w:rPr>
                <w:sz w:val="24"/>
                <w:szCs w:val="24"/>
              </w:rPr>
              <w:t>Percent of Change</w:t>
            </w:r>
          </w:p>
          <w:p w:rsidR="00A15AB1" w:rsidRDefault="00A15AB1" w:rsidP="003672A8">
            <w:pPr>
              <w:pStyle w:val="ListParagraph"/>
              <w:numPr>
                <w:ilvl w:val="0"/>
                <w:numId w:val="2"/>
              </w:numPr>
              <w:spacing w:after="280" w:afterAutospacing="1"/>
            </w:pPr>
            <w:r w:rsidRPr="003672A8">
              <w:rPr>
                <w:sz w:val="24"/>
                <w:szCs w:val="24"/>
              </w:rPr>
              <w:t>Sales Tax, Tips, and Markups</w:t>
            </w:r>
          </w:p>
          <w:p w:rsidR="00A15AB1" w:rsidRDefault="00A15AB1" w:rsidP="003672A8">
            <w:pPr>
              <w:pStyle w:val="ListParagraph"/>
              <w:numPr>
                <w:ilvl w:val="0"/>
                <w:numId w:val="2"/>
              </w:numPr>
              <w:spacing w:after="280" w:afterAutospacing="1"/>
            </w:pPr>
            <w:r w:rsidRPr="003672A8">
              <w:rPr>
                <w:sz w:val="24"/>
                <w:szCs w:val="24"/>
              </w:rPr>
              <w:t>Discount</w:t>
            </w:r>
          </w:p>
          <w:p w:rsidR="00A15AB1" w:rsidRPr="003672A8" w:rsidRDefault="00A15AB1" w:rsidP="003672A8">
            <w:pPr>
              <w:pStyle w:val="ListParagraph"/>
              <w:numPr>
                <w:ilvl w:val="0"/>
                <w:numId w:val="2"/>
              </w:numPr>
              <w:spacing w:after="280" w:afterAutospacing="1"/>
            </w:pPr>
            <w:r w:rsidRPr="003672A8">
              <w:rPr>
                <w:sz w:val="24"/>
                <w:szCs w:val="24"/>
              </w:rPr>
              <w:t>Financial Literacy: Simple Interest</w:t>
            </w:r>
          </w:p>
        </w:tc>
      </w:tr>
      <w:tr w:rsidR="00A15AB1" w:rsidRPr="00D96781" w:rsidTr="003672A8">
        <w:trPr>
          <w:gridAfter w:val="1"/>
          <w:wAfter w:w="552" w:type="dxa"/>
          <w:trHeight w:val="165"/>
        </w:trPr>
        <w:tc>
          <w:tcPr>
            <w:tcW w:w="10872" w:type="dxa"/>
            <w:gridSpan w:val="2"/>
            <w:tcBorders>
              <w:bottom w:val="single" w:sz="8" w:space="0" w:color="auto"/>
            </w:tcBorders>
            <w:shd w:val="clear" w:color="auto" w:fill="FFFFFF"/>
            <w:vAlign w:val="center"/>
          </w:tcPr>
          <w:p w:rsidR="00A15AB1" w:rsidRPr="00D96781" w:rsidRDefault="00A15AB1" w:rsidP="006746C9">
            <w:pPr>
              <w:spacing w:after="0" w:line="240" w:lineRule="auto"/>
              <w:rPr>
                <w:rFonts w:cs="Calibri"/>
                <w:sz w:val="16"/>
                <w:szCs w:val="16"/>
              </w:rPr>
            </w:pPr>
            <w:r w:rsidRPr="00FF4641">
              <w:rPr>
                <w:rFonts w:ascii="Tahoma" w:hAnsi="Tahoma" w:cs="Tahoma"/>
                <w:b/>
                <w:noProof/>
                <w:color w:val="292929"/>
                <w:sz w:val="24"/>
                <w:szCs w:val="24"/>
              </w:rPr>
              <w:t>Skills</w:t>
            </w:r>
          </w:p>
        </w:tc>
      </w:tr>
      <w:tr w:rsidR="00A15AB1" w:rsidTr="003672A8">
        <w:trPr>
          <w:gridBefore w:val="1"/>
          <w:wBefore w:w="1302" w:type="dxa"/>
          <w:trHeight w:val="165"/>
        </w:trPr>
        <w:tc>
          <w:tcPr>
            <w:tcW w:w="10122" w:type="dxa"/>
            <w:gridSpan w:val="2"/>
          </w:tcPr>
          <w:p w:rsidR="00A15AB1" w:rsidRPr="003672A8" w:rsidRDefault="00A15AB1" w:rsidP="003672A8">
            <w:pPr>
              <w:pStyle w:val="ListParagraph"/>
              <w:numPr>
                <w:ilvl w:val="0"/>
                <w:numId w:val="3"/>
              </w:numPr>
              <w:spacing w:after="280" w:afterAutospacing="1"/>
              <w:rPr>
                <w:sz w:val="16"/>
                <w:szCs w:val="16"/>
              </w:rPr>
            </w:pPr>
            <w:r w:rsidRPr="003672A8">
              <w:rPr>
                <w:sz w:val="24"/>
                <w:szCs w:val="24"/>
              </w:rPr>
              <w:t>Determine unit rates</w:t>
            </w:r>
          </w:p>
          <w:p w:rsidR="00A15AB1" w:rsidRDefault="00A15AB1" w:rsidP="003672A8">
            <w:pPr>
              <w:pStyle w:val="ListParagraph"/>
              <w:numPr>
                <w:ilvl w:val="0"/>
                <w:numId w:val="3"/>
              </w:numPr>
              <w:spacing w:after="280" w:afterAutospacing="1"/>
            </w:pPr>
            <w:r w:rsidRPr="003672A8">
              <w:rPr>
                <w:sz w:val="24"/>
                <w:szCs w:val="24"/>
              </w:rPr>
              <w:t>Simplify complex fractions and find unit rates</w:t>
            </w:r>
          </w:p>
          <w:p w:rsidR="00A15AB1" w:rsidRDefault="00A15AB1" w:rsidP="003672A8">
            <w:pPr>
              <w:pStyle w:val="ListParagraph"/>
              <w:numPr>
                <w:ilvl w:val="0"/>
                <w:numId w:val="3"/>
              </w:numPr>
              <w:spacing w:after="280" w:afterAutospacing="1"/>
            </w:pPr>
            <w:r w:rsidRPr="003672A8">
              <w:rPr>
                <w:sz w:val="24"/>
                <w:szCs w:val="24"/>
              </w:rPr>
              <w:t>Convert units of measure between derived units to solve problems</w:t>
            </w:r>
          </w:p>
          <w:p w:rsidR="00A15AB1" w:rsidRDefault="00A15AB1" w:rsidP="003672A8">
            <w:pPr>
              <w:pStyle w:val="ListParagraph"/>
              <w:numPr>
                <w:ilvl w:val="0"/>
                <w:numId w:val="3"/>
              </w:numPr>
              <w:spacing w:after="280" w:afterAutospacing="1"/>
            </w:pPr>
            <w:r w:rsidRPr="003672A8">
              <w:rPr>
                <w:sz w:val="24"/>
                <w:szCs w:val="24"/>
              </w:rPr>
              <w:t>Identify proportional and non</w:t>
            </w:r>
            <w:r w:rsidR="00146C4D" w:rsidRPr="003672A8">
              <w:rPr>
                <w:sz w:val="24"/>
                <w:szCs w:val="24"/>
              </w:rPr>
              <w:t>-</w:t>
            </w:r>
            <w:r w:rsidRPr="003672A8">
              <w:rPr>
                <w:sz w:val="24"/>
                <w:szCs w:val="24"/>
              </w:rPr>
              <w:t>proportional relationships</w:t>
            </w:r>
          </w:p>
          <w:p w:rsidR="00A15AB1" w:rsidRDefault="00A15AB1" w:rsidP="003672A8">
            <w:pPr>
              <w:pStyle w:val="ListParagraph"/>
              <w:numPr>
                <w:ilvl w:val="0"/>
                <w:numId w:val="3"/>
              </w:numPr>
              <w:spacing w:after="280" w:afterAutospacing="1"/>
            </w:pPr>
            <w:r w:rsidRPr="003672A8">
              <w:rPr>
                <w:sz w:val="24"/>
                <w:szCs w:val="24"/>
              </w:rPr>
              <w:t>Use proportions to solve problems</w:t>
            </w:r>
          </w:p>
          <w:p w:rsidR="00A15AB1" w:rsidRDefault="00A15AB1" w:rsidP="003672A8">
            <w:pPr>
              <w:pStyle w:val="ListParagraph"/>
              <w:numPr>
                <w:ilvl w:val="0"/>
                <w:numId w:val="3"/>
              </w:numPr>
              <w:spacing w:after="280" w:afterAutospacing="1"/>
            </w:pPr>
            <w:r w:rsidRPr="003672A8">
              <w:rPr>
                <w:sz w:val="24"/>
                <w:szCs w:val="24"/>
              </w:rPr>
              <w:t>Find percent of a number</w:t>
            </w:r>
          </w:p>
          <w:p w:rsidR="00A15AB1" w:rsidRDefault="00A15AB1" w:rsidP="003672A8">
            <w:pPr>
              <w:pStyle w:val="ListParagraph"/>
              <w:numPr>
                <w:ilvl w:val="0"/>
                <w:numId w:val="3"/>
              </w:numPr>
              <w:spacing w:after="280" w:afterAutospacing="1"/>
            </w:pPr>
            <w:r w:rsidRPr="003672A8">
              <w:rPr>
                <w:sz w:val="24"/>
                <w:szCs w:val="24"/>
              </w:rPr>
              <w:t>Estimate percents using fractions and decimals</w:t>
            </w:r>
          </w:p>
          <w:p w:rsidR="00A15AB1" w:rsidRDefault="00A15AB1" w:rsidP="003672A8">
            <w:pPr>
              <w:pStyle w:val="ListParagraph"/>
              <w:numPr>
                <w:ilvl w:val="0"/>
                <w:numId w:val="3"/>
              </w:numPr>
              <w:spacing w:after="280" w:afterAutospacing="1"/>
            </w:pPr>
            <w:r w:rsidRPr="003672A8">
              <w:rPr>
                <w:sz w:val="24"/>
                <w:szCs w:val="24"/>
              </w:rPr>
              <w:t>Use the percent proportion</w:t>
            </w:r>
          </w:p>
          <w:p w:rsidR="00A15AB1" w:rsidRDefault="00A15AB1" w:rsidP="003672A8">
            <w:pPr>
              <w:pStyle w:val="ListParagraph"/>
              <w:numPr>
                <w:ilvl w:val="0"/>
                <w:numId w:val="3"/>
              </w:numPr>
              <w:spacing w:after="280" w:afterAutospacing="1"/>
            </w:pPr>
            <w:r w:rsidRPr="003672A8">
              <w:rPr>
                <w:sz w:val="24"/>
                <w:szCs w:val="24"/>
              </w:rPr>
              <w:t>Use the percent equation</w:t>
            </w:r>
          </w:p>
          <w:p w:rsidR="00A15AB1" w:rsidRDefault="00A15AB1" w:rsidP="003672A8">
            <w:pPr>
              <w:pStyle w:val="ListParagraph"/>
              <w:numPr>
                <w:ilvl w:val="0"/>
                <w:numId w:val="3"/>
              </w:numPr>
              <w:spacing w:after="280" w:afterAutospacing="1"/>
            </w:pPr>
            <w:r w:rsidRPr="003672A8">
              <w:rPr>
                <w:sz w:val="24"/>
                <w:szCs w:val="24"/>
              </w:rPr>
              <w:t>Find percent of change and percent error</w:t>
            </w:r>
          </w:p>
          <w:p w:rsidR="00A15AB1" w:rsidRDefault="00A15AB1" w:rsidP="003672A8">
            <w:pPr>
              <w:pStyle w:val="ListParagraph"/>
              <w:numPr>
                <w:ilvl w:val="0"/>
                <w:numId w:val="3"/>
              </w:numPr>
              <w:spacing w:after="280" w:afterAutospacing="1"/>
            </w:pPr>
            <w:r w:rsidRPr="003672A8">
              <w:rPr>
                <w:sz w:val="24"/>
                <w:szCs w:val="24"/>
              </w:rPr>
              <w:lastRenderedPageBreak/>
              <w:t>Solve problems involving sales tax, tips, and markup</w:t>
            </w:r>
          </w:p>
          <w:p w:rsidR="00A15AB1" w:rsidRDefault="00A15AB1" w:rsidP="003672A8">
            <w:pPr>
              <w:pStyle w:val="ListParagraph"/>
              <w:numPr>
                <w:ilvl w:val="0"/>
                <w:numId w:val="3"/>
              </w:numPr>
              <w:spacing w:after="280" w:afterAutospacing="1"/>
            </w:pPr>
            <w:r w:rsidRPr="003672A8">
              <w:rPr>
                <w:sz w:val="24"/>
                <w:szCs w:val="24"/>
              </w:rPr>
              <w:t>Solve problems involving discount</w:t>
            </w:r>
          </w:p>
          <w:p w:rsidR="00A15AB1" w:rsidRPr="003672A8" w:rsidRDefault="00A15AB1" w:rsidP="003672A8">
            <w:pPr>
              <w:pStyle w:val="ListParagraph"/>
              <w:numPr>
                <w:ilvl w:val="0"/>
                <w:numId w:val="3"/>
              </w:numPr>
              <w:spacing w:after="280" w:afterAutospacing="1"/>
            </w:pPr>
            <w:r w:rsidRPr="003672A8">
              <w:rPr>
                <w:sz w:val="24"/>
                <w:szCs w:val="24"/>
              </w:rPr>
              <w:t>Solve problems involving simple interest</w:t>
            </w:r>
          </w:p>
        </w:tc>
      </w:tr>
      <w:tr w:rsidR="00A15AB1" w:rsidRPr="00D96781" w:rsidTr="003672A8">
        <w:trPr>
          <w:gridBefore w:val="1"/>
          <w:wBefore w:w="1302" w:type="dxa"/>
          <w:trHeight w:val="165"/>
        </w:trPr>
        <w:tc>
          <w:tcPr>
            <w:tcW w:w="10122" w:type="dxa"/>
            <w:gridSpan w:val="2"/>
            <w:tcBorders>
              <w:bottom w:val="single" w:sz="8" w:space="0" w:color="auto"/>
            </w:tcBorders>
            <w:shd w:val="clear" w:color="auto" w:fill="FFFFFF"/>
            <w:vAlign w:val="center"/>
          </w:tcPr>
          <w:p w:rsidR="00A15AB1" w:rsidRPr="00D96781" w:rsidRDefault="00A15AB1" w:rsidP="006746C9">
            <w:pPr>
              <w:spacing w:after="0" w:line="240" w:lineRule="auto"/>
              <w:rPr>
                <w:rFonts w:cs="Calibri"/>
                <w:sz w:val="16"/>
                <w:szCs w:val="16"/>
              </w:rPr>
            </w:pPr>
            <w:r w:rsidRPr="00FF4641">
              <w:rPr>
                <w:rFonts w:ascii="Tahoma" w:hAnsi="Tahoma" w:cs="Tahoma"/>
                <w:b/>
                <w:noProof/>
                <w:color w:val="292929"/>
                <w:sz w:val="24"/>
                <w:szCs w:val="24"/>
              </w:rPr>
              <w:lastRenderedPageBreak/>
              <w:t>Assessments</w:t>
            </w:r>
          </w:p>
        </w:tc>
      </w:tr>
      <w:tr w:rsidR="00A15AB1" w:rsidTr="003672A8">
        <w:trPr>
          <w:gridBefore w:val="1"/>
          <w:wBefore w:w="1302" w:type="dxa"/>
          <w:trHeight w:val="165"/>
        </w:trPr>
        <w:tc>
          <w:tcPr>
            <w:tcW w:w="10122" w:type="dxa"/>
            <w:gridSpan w:val="2"/>
          </w:tcPr>
          <w:p w:rsidR="00A15AB1" w:rsidRDefault="00BC3383" w:rsidP="00BC3383">
            <w:pPr>
              <w:pStyle w:val="ListParagraph"/>
              <w:numPr>
                <w:ilvl w:val="0"/>
                <w:numId w:val="4"/>
              </w:numPr>
              <w:spacing w:after="280" w:afterAutospacing="1"/>
            </w:pPr>
            <w:r w:rsidRPr="00BC3383">
              <w:rPr>
                <w:sz w:val="24"/>
                <w:szCs w:val="24"/>
              </w:rPr>
              <w:t xml:space="preserve">Football Percentage Accuracy </w:t>
            </w:r>
            <w:r w:rsidR="00A15AB1" w:rsidRPr="00BC3383">
              <w:rPr>
                <w:sz w:val="24"/>
                <w:szCs w:val="24"/>
              </w:rPr>
              <w:t>Project</w:t>
            </w:r>
          </w:p>
          <w:p w:rsidR="00A15AB1" w:rsidRDefault="00A15AB1" w:rsidP="00BC3383">
            <w:pPr>
              <w:pStyle w:val="ListParagraph"/>
              <w:numPr>
                <w:ilvl w:val="0"/>
                <w:numId w:val="4"/>
              </w:numPr>
              <w:spacing w:after="280" w:afterAutospacing="1"/>
            </w:pPr>
            <w:r w:rsidRPr="00BC3383">
              <w:rPr>
                <w:sz w:val="24"/>
                <w:szCs w:val="24"/>
              </w:rPr>
              <w:t>Teacher Observation</w:t>
            </w:r>
          </w:p>
          <w:p w:rsidR="00A15AB1" w:rsidRDefault="00A15AB1" w:rsidP="006746C9">
            <w:pPr>
              <w:spacing w:after="280" w:afterAutospacing="1"/>
              <w:rPr>
                <w:noProof/>
                <w:sz w:val="16"/>
                <w:szCs w:val="16"/>
              </w:rPr>
            </w:pPr>
          </w:p>
          <w:p w:rsidR="00A15AB1" w:rsidRDefault="00A15AB1" w:rsidP="006746C9">
            <w:pPr>
              <w:spacing w:after="100" w:line="240" w:lineRule="auto"/>
              <w:rPr>
                <w:sz w:val="16"/>
                <w:szCs w:val="16"/>
              </w:rPr>
            </w:pPr>
          </w:p>
        </w:tc>
      </w:tr>
      <w:tr w:rsidR="00A15AB1" w:rsidRPr="00D96781" w:rsidTr="003672A8">
        <w:trPr>
          <w:gridAfter w:val="1"/>
          <w:wAfter w:w="552" w:type="dxa"/>
          <w:trHeight w:val="165"/>
        </w:trPr>
        <w:tc>
          <w:tcPr>
            <w:tcW w:w="10872" w:type="dxa"/>
            <w:gridSpan w:val="2"/>
            <w:tcBorders>
              <w:bottom w:val="single" w:sz="8" w:space="0" w:color="auto"/>
            </w:tcBorders>
            <w:shd w:val="clear" w:color="auto" w:fill="FFFFFF"/>
            <w:vAlign w:val="center"/>
          </w:tcPr>
          <w:p w:rsidR="00A15AB1" w:rsidRPr="00D96781" w:rsidRDefault="00A15AB1" w:rsidP="006746C9">
            <w:pPr>
              <w:spacing w:after="0" w:line="240" w:lineRule="auto"/>
              <w:rPr>
                <w:rFonts w:cs="Calibri"/>
                <w:sz w:val="16"/>
                <w:szCs w:val="16"/>
              </w:rPr>
            </w:pPr>
            <w:r w:rsidRPr="00FF4641">
              <w:rPr>
                <w:rFonts w:ascii="Tahoma" w:hAnsi="Tahoma" w:cs="Tahoma"/>
                <w:b/>
                <w:noProof/>
                <w:color w:val="292929"/>
                <w:sz w:val="24"/>
                <w:szCs w:val="24"/>
              </w:rPr>
              <w:t>Lessons/Learning Scenarios</w:t>
            </w:r>
          </w:p>
        </w:tc>
      </w:tr>
      <w:tr w:rsidR="00A15AB1" w:rsidTr="003672A8">
        <w:trPr>
          <w:gridAfter w:val="1"/>
          <w:wAfter w:w="552" w:type="dxa"/>
          <w:trHeight w:val="165"/>
        </w:trPr>
        <w:tc>
          <w:tcPr>
            <w:tcW w:w="10872" w:type="dxa"/>
            <w:gridSpan w:val="2"/>
          </w:tcPr>
          <w:p w:rsidR="00A15AB1" w:rsidRPr="009E0F54" w:rsidRDefault="00212662" w:rsidP="00212662">
            <w:pPr>
              <w:pStyle w:val="ListParagraph"/>
              <w:numPr>
                <w:ilvl w:val="0"/>
                <w:numId w:val="6"/>
              </w:numPr>
              <w:spacing w:after="280" w:afterAutospacing="1"/>
              <w:rPr>
                <w:noProof/>
                <w:sz w:val="24"/>
                <w:szCs w:val="24"/>
              </w:rPr>
            </w:pPr>
            <w:r w:rsidRPr="009E0F54">
              <w:rPr>
                <w:noProof/>
                <w:sz w:val="24"/>
                <w:szCs w:val="24"/>
              </w:rPr>
              <w:t>Determining batting averages, then explain what 1.000 and 0.000 means.</w:t>
            </w:r>
          </w:p>
          <w:p w:rsidR="0076265F" w:rsidRPr="009E0F54" w:rsidRDefault="00212662" w:rsidP="00212662">
            <w:pPr>
              <w:pStyle w:val="ListParagraph"/>
              <w:numPr>
                <w:ilvl w:val="0"/>
                <w:numId w:val="6"/>
              </w:numPr>
              <w:spacing w:after="280" w:afterAutospacing="1"/>
              <w:rPr>
                <w:noProof/>
                <w:sz w:val="24"/>
                <w:szCs w:val="24"/>
              </w:rPr>
            </w:pPr>
            <w:r w:rsidRPr="009E0F54">
              <w:rPr>
                <w:noProof/>
                <w:sz w:val="24"/>
                <w:szCs w:val="24"/>
              </w:rPr>
              <w:t>Create paper footballs, then work with a partner to calculate field goa</w:t>
            </w:r>
            <w:r w:rsidR="009E0F54">
              <w:rPr>
                <w:noProof/>
                <w:sz w:val="24"/>
                <w:szCs w:val="24"/>
              </w:rPr>
              <w:t>l</w:t>
            </w:r>
            <w:r w:rsidR="0076265F" w:rsidRPr="009E0F54">
              <w:rPr>
                <w:noProof/>
                <w:sz w:val="24"/>
                <w:szCs w:val="24"/>
              </w:rPr>
              <w:t xml:space="preserve"> accuracy in fraction, decimal, and percentage forms.</w:t>
            </w:r>
          </w:p>
          <w:p w:rsidR="00212662" w:rsidRPr="009E0F54" w:rsidRDefault="0076265F" w:rsidP="00212662">
            <w:pPr>
              <w:pStyle w:val="ListParagraph"/>
              <w:numPr>
                <w:ilvl w:val="0"/>
                <w:numId w:val="6"/>
              </w:numPr>
              <w:spacing w:after="280" w:afterAutospacing="1"/>
              <w:rPr>
                <w:noProof/>
                <w:sz w:val="24"/>
                <w:szCs w:val="24"/>
              </w:rPr>
            </w:pPr>
            <w:r w:rsidRPr="009E0F54">
              <w:rPr>
                <w:noProof/>
                <w:sz w:val="24"/>
                <w:szCs w:val="24"/>
              </w:rPr>
              <w:t>Real-world financial literacy problems (discount).</w:t>
            </w:r>
          </w:p>
          <w:p w:rsidR="0076265F" w:rsidRPr="009E0F54" w:rsidRDefault="0076265F" w:rsidP="00212662">
            <w:pPr>
              <w:pStyle w:val="ListParagraph"/>
              <w:numPr>
                <w:ilvl w:val="0"/>
                <w:numId w:val="6"/>
              </w:numPr>
              <w:spacing w:after="280" w:afterAutospacing="1"/>
              <w:rPr>
                <w:noProof/>
                <w:sz w:val="24"/>
                <w:szCs w:val="24"/>
              </w:rPr>
            </w:pPr>
            <w:r w:rsidRPr="009E0F54">
              <w:rPr>
                <w:noProof/>
                <w:sz w:val="24"/>
                <w:szCs w:val="24"/>
              </w:rPr>
              <w:t>Real-world football p</w:t>
            </w:r>
            <w:r w:rsidR="00891189" w:rsidRPr="009E0F54">
              <w:rPr>
                <w:noProof/>
                <w:sz w:val="24"/>
                <w:szCs w:val="24"/>
              </w:rPr>
              <w:t xml:space="preserve">roblems </w:t>
            </w:r>
            <w:r w:rsidR="009E0F54">
              <w:rPr>
                <w:noProof/>
                <w:sz w:val="24"/>
                <w:szCs w:val="24"/>
              </w:rPr>
              <w:t>relating to top scorers.</w:t>
            </w:r>
          </w:p>
          <w:p w:rsidR="00A15AB1" w:rsidRDefault="00A15AB1" w:rsidP="006746C9">
            <w:pPr>
              <w:spacing w:after="100" w:line="240" w:lineRule="auto"/>
              <w:rPr>
                <w:sz w:val="16"/>
                <w:szCs w:val="16"/>
              </w:rPr>
            </w:pPr>
          </w:p>
        </w:tc>
      </w:tr>
      <w:tr w:rsidR="00A15AB1" w:rsidRPr="00D96781" w:rsidTr="003672A8">
        <w:trPr>
          <w:gridAfter w:val="1"/>
          <w:wAfter w:w="552" w:type="dxa"/>
          <w:trHeight w:val="165"/>
        </w:trPr>
        <w:tc>
          <w:tcPr>
            <w:tcW w:w="10872" w:type="dxa"/>
            <w:gridSpan w:val="2"/>
            <w:tcBorders>
              <w:bottom w:val="single" w:sz="8" w:space="0" w:color="auto"/>
            </w:tcBorders>
            <w:shd w:val="clear" w:color="auto" w:fill="FFFFFF"/>
            <w:vAlign w:val="center"/>
          </w:tcPr>
          <w:p w:rsidR="00A15AB1" w:rsidRPr="00D96781" w:rsidRDefault="00A15AB1" w:rsidP="006746C9">
            <w:pPr>
              <w:spacing w:after="0" w:line="240" w:lineRule="auto"/>
              <w:rPr>
                <w:rFonts w:cs="Calibri"/>
                <w:sz w:val="16"/>
                <w:szCs w:val="16"/>
              </w:rPr>
            </w:pPr>
            <w:r w:rsidRPr="00FF4641">
              <w:rPr>
                <w:rFonts w:ascii="Tahoma" w:hAnsi="Tahoma" w:cs="Tahoma"/>
                <w:b/>
                <w:noProof/>
                <w:color w:val="292929"/>
                <w:sz w:val="24"/>
                <w:szCs w:val="24"/>
              </w:rPr>
              <w:t>Standards</w:t>
            </w:r>
          </w:p>
        </w:tc>
      </w:tr>
      <w:tr w:rsidR="00A15AB1" w:rsidTr="003672A8">
        <w:trPr>
          <w:gridAfter w:val="1"/>
          <w:wAfter w:w="552" w:type="dxa"/>
          <w:trHeight w:val="165"/>
        </w:trPr>
        <w:tc>
          <w:tcPr>
            <w:tcW w:w="10872" w:type="dxa"/>
            <w:gridSpan w:val="2"/>
          </w:tcPr>
          <w:p w:rsidR="00A15AB1" w:rsidRDefault="00A15AB1" w:rsidP="006746C9">
            <w:pPr>
              <w:spacing w:after="0" w:line="240" w:lineRule="auto"/>
              <w:rPr>
                <w:sz w:val="16"/>
                <w:szCs w:val="16"/>
              </w:rPr>
            </w:pPr>
          </w:p>
          <w:tbl>
            <w:tblPr>
              <w:tblW w:w="10656" w:type="dxa"/>
              <w:tblBorders>
                <w:top w:val="single" w:sz="2" w:space="0" w:color="auto"/>
                <w:left w:val="single" w:sz="2" w:space="0" w:color="auto"/>
                <w:bottom w:val="single" w:sz="2" w:space="0" w:color="auto"/>
                <w:right w:val="single" w:sz="2" w:space="0" w:color="auto"/>
              </w:tblBorders>
              <w:tblLook w:val="04A0"/>
            </w:tblPr>
            <w:tblGrid>
              <w:gridCol w:w="3714"/>
              <w:gridCol w:w="6942"/>
            </w:tblGrid>
            <w:tr w:rsidR="00A15AB1" w:rsidRPr="003908DA" w:rsidTr="006746C9">
              <w:trPr>
                <w:trHeight w:val="50"/>
              </w:trPr>
              <w:tc>
                <w:tcPr>
                  <w:tcW w:w="3050" w:type="dxa"/>
                  <w:tcBorders>
                    <w:top w:val="nil"/>
                    <w:left w:val="nil"/>
                    <w:bottom w:val="nil"/>
                  </w:tcBorders>
                  <w:shd w:val="clear" w:color="auto" w:fill="auto"/>
                </w:tcPr>
                <w:p w:rsidR="00A15AB1" w:rsidRPr="009E0F54" w:rsidRDefault="00A15AB1" w:rsidP="006746C9">
                  <w:pPr>
                    <w:spacing w:after="0" w:line="240" w:lineRule="auto"/>
                    <w:ind w:right="-66"/>
                    <w:rPr>
                      <w:rFonts w:cs="Calibri"/>
                      <w:b/>
                      <w:bCs/>
                      <w:color w:val="000000"/>
                      <w:sz w:val="24"/>
                      <w:szCs w:val="24"/>
                    </w:rPr>
                  </w:pPr>
                  <w:r w:rsidRPr="009E0F54">
                    <w:rPr>
                      <w:rFonts w:cs="Calibri"/>
                      <w:b/>
                      <w:bCs/>
                      <w:noProof/>
                      <w:color w:val="000000"/>
                      <w:sz w:val="24"/>
                      <w:szCs w:val="24"/>
                    </w:rPr>
                    <w:t>MA.7.CCSS.Math.Content.7.RP.A.1</w:t>
                  </w:r>
                </w:p>
              </w:tc>
              <w:tc>
                <w:tcPr>
                  <w:tcW w:w="7606" w:type="dxa"/>
                  <w:tcBorders>
                    <w:top w:val="nil"/>
                    <w:bottom w:val="nil"/>
                    <w:right w:val="nil"/>
                  </w:tcBorders>
                  <w:shd w:val="clear" w:color="auto" w:fill="auto"/>
                </w:tcPr>
                <w:p w:rsidR="00A15AB1" w:rsidRPr="009E0F54" w:rsidRDefault="00A15AB1" w:rsidP="006746C9">
                  <w:pPr>
                    <w:tabs>
                      <w:tab w:val="left" w:pos="7344"/>
                    </w:tabs>
                    <w:spacing w:after="0" w:line="240" w:lineRule="auto"/>
                    <w:rPr>
                      <w:rFonts w:cs="Calibri"/>
                      <w:b/>
                      <w:bCs/>
                      <w:color w:val="000000"/>
                      <w:sz w:val="24"/>
                      <w:szCs w:val="24"/>
                    </w:rPr>
                  </w:pPr>
                  <w:r w:rsidRPr="009E0F54">
                    <w:rPr>
                      <w:rFonts w:cs="Calibri"/>
                      <w:b/>
                      <w:bCs/>
                      <w:noProof/>
                      <w:color w:val="000000"/>
                      <w:sz w:val="24"/>
                      <w:szCs w:val="24"/>
                    </w:rPr>
                    <w:t>Compute unit rates</w:t>
                  </w:r>
                  <w:r w:rsidRPr="009E0F54">
                    <w:rPr>
                      <w:rFonts w:cs="Calibri"/>
                      <w:b/>
                      <w:bCs/>
                      <w:color w:val="000000"/>
                      <w:sz w:val="24"/>
                      <w:szCs w:val="24"/>
                    </w:rPr>
                    <w:t xml:space="preserve"> associated with ratios of fractions, including ratios of lengths, areas and other quantities measured in like or different units. </w:t>
                  </w:r>
                </w:p>
              </w:tc>
            </w:tr>
            <w:tr w:rsidR="00A15AB1" w:rsidRPr="003908DA" w:rsidTr="006746C9">
              <w:trPr>
                <w:trHeight w:val="50"/>
              </w:trPr>
              <w:tc>
                <w:tcPr>
                  <w:tcW w:w="3050" w:type="dxa"/>
                  <w:tcBorders>
                    <w:top w:val="nil"/>
                    <w:left w:val="nil"/>
                    <w:bottom w:val="nil"/>
                  </w:tcBorders>
                  <w:shd w:val="clear" w:color="auto" w:fill="auto"/>
                </w:tcPr>
                <w:p w:rsidR="00A15AB1" w:rsidRPr="009E0F54" w:rsidRDefault="00A15AB1" w:rsidP="006746C9">
                  <w:pPr>
                    <w:spacing w:after="0" w:line="240" w:lineRule="auto"/>
                    <w:ind w:right="-66"/>
                    <w:rPr>
                      <w:rFonts w:cs="Calibri"/>
                      <w:b/>
                      <w:bCs/>
                      <w:color w:val="000000"/>
                      <w:sz w:val="24"/>
                      <w:szCs w:val="24"/>
                    </w:rPr>
                  </w:pPr>
                </w:p>
              </w:tc>
              <w:tc>
                <w:tcPr>
                  <w:tcW w:w="7606" w:type="dxa"/>
                  <w:tcBorders>
                    <w:top w:val="nil"/>
                    <w:bottom w:val="nil"/>
                    <w:right w:val="nil"/>
                  </w:tcBorders>
                  <w:shd w:val="clear" w:color="auto" w:fill="auto"/>
                </w:tcPr>
                <w:p w:rsidR="00A15AB1" w:rsidRPr="009E0F54" w:rsidRDefault="00A15AB1" w:rsidP="006746C9">
                  <w:pPr>
                    <w:tabs>
                      <w:tab w:val="left" w:pos="7344"/>
                    </w:tabs>
                    <w:spacing w:after="0" w:line="240" w:lineRule="auto"/>
                    <w:rPr>
                      <w:rFonts w:cs="Calibri"/>
                      <w:b/>
                      <w:bCs/>
                      <w:color w:val="000000"/>
                      <w:sz w:val="24"/>
                      <w:szCs w:val="24"/>
                    </w:rPr>
                  </w:pPr>
                </w:p>
              </w:tc>
            </w:tr>
            <w:tr w:rsidR="00A15AB1" w:rsidRPr="003908DA" w:rsidTr="006746C9">
              <w:trPr>
                <w:trHeight w:val="50"/>
              </w:trPr>
              <w:tc>
                <w:tcPr>
                  <w:tcW w:w="3050" w:type="dxa"/>
                  <w:tcBorders>
                    <w:top w:val="nil"/>
                    <w:left w:val="nil"/>
                    <w:bottom w:val="nil"/>
                  </w:tcBorders>
                  <w:shd w:val="clear" w:color="auto" w:fill="auto"/>
                </w:tcPr>
                <w:p w:rsidR="00A15AB1" w:rsidRPr="009E0F54" w:rsidRDefault="00A15AB1" w:rsidP="006746C9">
                  <w:pPr>
                    <w:spacing w:after="0" w:line="240" w:lineRule="auto"/>
                    <w:ind w:right="-66"/>
                    <w:rPr>
                      <w:rFonts w:cs="Calibri"/>
                      <w:b/>
                      <w:bCs/>
                      <w:color w:val="000000"/>
                      <w:sz w:val="24"/>
                      <w:szCs w:val="24"/>
                    </w:rPr>
                  </w:pPr>
                  <w:r w:rsidRPr="009E0F54">
                    <w:rPr>
                      <w:rFonts w:cs="Calibri"/>
                      <w:b/>
                      <w:bCs/>
                      <w:noProof/>
                      <w:color w:val="000000"/>
                      <w:sz w:val="24"/>
                      <w:szCs w:val="24"/>
                    </w:rPr>
                    <w:t>MA.7.CCSS.Math.Content.7.RP.A.2c</w:t>
                  </w:r>
                </w:p>
              </w:tc>
              <w:tc>
                <w:tcPr>
                  <w:tcW w:w="7606" w:type="dxa"/>
                  <w:tcBorders>
                    <w:top w:val="nil"/>
                    <w:bottom w:val="nil"/>
                    <w:right w:val="nil"/>
                  </w:tcBorders>
                  <w:shd w:val="clear" w:color="auto" w:fill="auto"/>
                </w:tcPr>
                <w:p w:rsidR="00A15AB1" w:rsidRPr="009E0F54" w:rsidRDefault="00A15AB1" w:rsidP="006746C9">
                  <w:pPr>
                    <w:tabs>
                      <w:tab w:val="left" w:pos="7344"/>
                    </w:tabs>
                    <w:spacing w:after="0" w:line="240" w:lineRule="auto"/>
                    <w:rPr>
                      <w:rFonts w:cs="Calibri"/>
                      <w:b/>
                      <w:bCs/>
                      <w:color w:val="000000"/>
                      <w:sz w:val="24"/>
                      <w:szCs w:val="24"/>
                    </w:rPr>
                  </w:pPr>
                  <w:r w:rsidRPr="009E0F54">
                    <w:rPr>
                      <w:rFonts w:cs="Calibri"/>
                      <w:b/>
                      <w:bCs/>
                      <w:noProof/>
                      <w:color w:val="000000"/>
                      <w:sz w:val="24"/>
                      <w:szCs w:val="24"/>
                    </w:rPr>
                    <w:t>Represent proportional relationships</w:t>
                  </w:r>
                  <w:r w:rsidRPr="009E0F54">
                    <w:rPr>
                      <w:rFonts w:cs="Calibri"/>
                      <w:b/>
                      <w:bCs/>
                      <w:color w:val="000000"/>
                      <w:sz w:val="24"/>
                      <w:szCs w:val="24"/>
                    </w:rPr>
                    <w:t xml:space="preserve"> by equations. </w:t>
                  </w:r>
                </w:p>
              </w:tc>
            </w:tr>
            <w:tr w:rsidR="00A15AB1" w:rsidRPr="003908DA" w:rsidTr="006746C9">
              <w:trPr>
                <w:trHeight w:val="50"/>
              </w:trPr>
              <w:tc>
                <w:tcPr>
                  <w:tcW w:w="3050" w:type="dxa"/>
                  <w:tcBorders>
                    <w:top w:val="nil"/>
                    <w:left w:val="nil"/>
                    <w:bottom w:val="nil"/>
                  </w:tcBorders>
                  <w:shd w:val="clear" w:color="auto" w:fill="auto"/>
                </w:tcPr>
                <w:p w:rsidR="00A15AB1" w:rsidRPr="009E0F54" w:rsidRDefault="00A15AB1" w:rsidP="006746C9">
                  <w:pPr>
                    <w:spacing w:after="0" w:line="240" w:lineRule="auto"/>
                    <w:ind w:right="-66"/>
                    <w:rPr>
                      <w:rFonts w:cs="Calibri"/>
                      <w:b/>
                      <w:bCs/>
                      <w:color w:val="000000"/>
                      <w:sz w:val="24"/>
                      <w:szCs w:val="24"/>
                    </w:rPr>
                  </w:pPr>
                </w:p>
              </w:tc>
              <w:tc>
                <w:tcPr>
                  <w:tcW w:w="7606" w:type="dxa"/>
                  <w:tcBorders>
                    <w:top w:val="nil"/>
                    <w:bottom w:val="nil"/>
                    <w:right w:val="nil"/>
                  </w:tcBorders>
                  <w:shd w:val="clear" w:color="auto" w:fill="auto"/>
                </w:tcPr>
                <w:p w:rsidR="00A15AB1" w:rsidRPr="009E0F54" w:rsidRDefault="00A15AB1" w:rsidP="006746C9">
                  <w:pPr>
                    <w:tabs>
                      <w:tab w:val="left" w:pos="7344"/>
                    </w:tabs>
                    <w:spacing w:after="0" w:line="240" w:lineRule="auto"/>
                    <w:rPr>
                      <w:rFonts w:cs="Calibri"/>
                      <w:b/>
                      <w:bCs/>
                      <w:color w:val="000000"/>
                      <w:sz w:val="24"/>
                      <w:szCs w:val="24"/>
                    </w:rPr>
                  </w:pPr>
                </w:p>
              </w:tc>
            </w:tr>
            <w:tr w:rsidR="00A15AB1" w:rsidRPr="003908DA" w:rsidTr="006746C9">
              <w:trPr>
                <w:trHeight w:val="50"/>
              </w:trPr>
              <w:tc>
                <w:tcPr>
                  <w:tcW w:w="3050" w:type="dxa"/>
                  <w:tcBorders>
                    <w:top w:val="nil"/>
                    <w:left w:val="nil"/>
                    <w:bottom w:val="nil"/>
                  </w:tcBorders>
                  <w:shd w:val="clear" w:color="auto" w:fill="auto"/>
                </w:tcPr>
                <w:p w:rsidR="00A15AB1" w:rsidRPr="009E0F54" w:rsidRDefault="00A15AB1" w:rsidP="006746C9">
                  <w:pPr>
                    <w:spacing w:after="0" w:line="240" w:lineRule="auto"/>
                    <w:ind w:right="-66"/>
                    <w:rPr>
                      <w:rFonts w:cs="Calibri"/>
                      <w:b/>
                      <w:bCs/>
                      <w:color w:val="000000"/>
                      <w:sz w:val="24"/>
                      <w:szCs w:val="24"/>
                    </w:rPr>
                  </w:pPr>
                  <w:r w:rsidRPr="009E0F54">
                    <w:rPr>
                      <w:rFonts w:cs="Calibri"/>
                      <w:b/>
                      <w:bCs/>
                      <w:noProof/>
                      <w:color w:val="000000"/>
                      <w:sz w:val="24"/>
                      <w:szCs w:val="24"/>
                    </w:rPr>
                    <w:t>MA.7.CCSS.Math.Content.7.RP.A.3</w:t>
                  </w:r>
                </w:p>
              </w:tc>
              <w:tc>
                <w:tcPr>
                  <w:tcW w:w="7606" w:type="dxa"/>
                  <w:tcBorders>
                    <w:top w:val="nil"/>
                    <w:bottom w:val="nil"/>
                    <w:right w:val="nil"/>
                  </w:tcBorders>
                  <w:shd w:val="clear" w:color="auto" w:fill="auto"/>
                </w:tcPr>
                <w:p w:rsidR="00A15AB1" w:rsidRPr="009E0F54" w:rsidRDefault="00A15AB1" w:rsidP="006746C9">
                  <w:pPr>
                    <w:tabs>
                      <w:tab w:val="left" w:pos="7344"/>
                    </w:tabs>
                    <w:spacing w:after="0" w:line="240" w:lineRule="auto"/>
                    <w:rPr>
                      <w:rFonts w:cs="Calibri"/>
                      <w:b/>
                      <w:bCs/>
                      <w:color w:val="000000"/>
                      <w:sz w:val="24"/>
                      <w:szCs w:val="24"/>
                    </w:rPr>
                  </w:pPr>
                  <w:r w:rsidRPr="009E0F54">
                    <w:rPr>
                      <w:rFonts w:cs="Calibri"/>
                      <w:b/>
                      <w:bCs/>
                      <w:noProof/>
                      <w:color w:val="000000"/>
                      <w:sz w:val="24"/>
                      <w:szCs w:val="24"/>
                    </w:rPr>
                    <w:t>Use proportional relationships</w:t>
                  </w:r>
                  <w:r w:rsidRPr="009E0F54">
                    <w:rPr>
                      <w:rFonts w:cs="Calibri"/>
                      <w:b/>
                      <w:bCs/>
                      <w:color w:val="000000"/>
                      <w:sz w:val="24"/>
                      <w:szCs w:val="24"/>
                    </w:rPr>
                    <w:t xml:space="preserve"> to solve multistep ratio and percent problems. </w:t>
                  </w:r>
                </w:p>
              </w:tc>
            </w:tr>
            <w:tr w:rsidR="00A15AB1" w:rsidRPr="003908DA" w:rsidTr="006746C9">
              <w:trPr>
                <w:trHeight w:val="50"/>
              </w:trPr>
              <w:tc>
                <w:tcPr>
                  <w:tcW w:w="3050" w:type="dxa"/>
                  <w:tcBorders>
                    <w:top w:val="nil"/>
                    <w:left w:val="nil"/>
                    <w:bottom w:val="nil"/>
                  </w:tcBorders>
                  <w:shd w:val="clear" w:color="auto" w:fill="auto"/>
                </w:tcPr>
                <w:p w:rsidR="00A15AB1" w:rsidRPr="009E0F54" w:rsidRDefault="00A15AB1" w:rsidP="006746C9">
                  <w:pPr>
                    <w:spacing w:after="0" w:line="240" w:lineRule="auto"/>
                    <w:ind w:right="-66"/>
                    <w:rPr>
                      <w:rFonts w:cs="Calibri"/>
                      <w:b/>
                      <w:bCs/>
                      <w:color w:val="000000"/>
                      <w:sz w:val="24"/>
                      <w:szCs w:val="24"/>
                    </w:rPr>
                  </w:pPr>
                  <w:r w:rsidRPr="009E0F54">
                    <w:rPr>
                      <w:rFonts w:cs="Calibri"/>
                      <w:b/>
                      <w:bCs/>
                      <w:noProof/>
                      <w:color w:val="000000"/>
                      <w:sz w:val="24"/>
                      <w:szCs w:val="24"/>
                    </w:rPr>
                    <w:t>MA.7.CCSS.Math.Content.7.NS.A.3</w:t>
                  </w:r>
                </w:p>
              </w:tc>
              <w:tc>
                <w:tcPr>
                  <w:tcW w:w="7606" w:type="dxa"/>
                  <w:tcBorders>
                    <w:top w:val="nil"/>
                    <w:bottom w:val="nil"/>
                    <w:right w:val="nil"/>
                  </w:tcBorders>
                  <w:shd w:val="clear" w:color="auto" w:fill="auto"/>
                </w:tcPr>
                <w:p w:rsidR="00A15AB1" w:rsidRPr="009E0F54" w:rsidRDefault="00A15AB1" w:rsidP="006746C9">
                  <w:pPr>
                    <w:tabs>
                      <w:tab w:val="left" w:pos="7344"/>
                    </w:tabs>
                    <w:spacing w:after="0" w:line="240" w:lineRule="auto"/>
                    <w:rPr>
                      <w:rFonts w:cs="Calibri"/>
                      <w:b/>
                      <w:bCs/>
                      <w:color w:val="000000"/>
                      <w:sz w:val="24"/>
                      <w:szCs w:val="24"/>
                    </w:rPr>
                  </w:pPr>
                  <w:r w:rsidRPr="009E0F54">
                    <w:rPr>
                      <w:rFonts w:cs="Calibri"/>
                      <w:b/>
                      <w:bCs/>
                      <w:noProof/>
                      <w:color w:val="000000"/>
                      <w:sz w:val="24"/>
                      <w:szCs w:val="24"/>
                    </w:rPr>
                    <w:t>Solve real-world and</w:t>
                  </w:r>
                  <w:r w:rsidRPr="009E0F54">
                    <w:rPr>
                      <w:rFonts w:cs="Calibri"/>
                      <w:b/>
                      <w:bCs/>
                      <w:color w:val="000000"/>
                      <w:sz w:val="24"/>
                      <w:szCs w:val="24"/>
                    </w:rPr>
                    <w:t xml:space="preserve"> mathematical problems involving the four operations with rational numbers. </w:t>
                  </w:r>
                </w:p>
              </w:tc>
            </w:tr>
            <w:tr w:rsidR="00A15AB1" w:rsidRPr="003908DA" w:rsidTr="006746C9">
              <w:trPr>
                <w:trHeight w:val="50"/>
              </w:trPr>
              <w:tc>
                <w:tcPr>
                  <w:tcW w:w="3050" w:type="dxa"/>
                  <w:tcBorders>
                    <w:top w:val="nil"/>
                    <w:left w:val="nil"/>
                    <w:bottom w:val="nil"/>
                  </w:tcBorders>
                  <w:shd w:val="clear" w:color="auto" w:fill="auto"/>
                </w:tcPr>
                <w:p w:rsidR="00A15AB1" w:rsidRPr="009E0F54" w:rsidRDefault="00A15AB1" w:rsidP="006746C9">
                  <w:pPr>
                    <w:spacing w:after="0" w:line="240" w:lineRule="auto"/>
                    <w:ind w:right="-66"/>
                    <w:rPr>
                      <w:rFonts w:cs="Calibri"/>
                      <w:b/>
                      <w:bCs/>
                      <w:color w:val="000000"/>
                      <w:sz w:val="24"/>
                      <w:szCs w:val="24"/>
                    </w:rPr>
                  </w:pPr>
                  <w:r w:rsidRPr="009E0F54">
                    <w:rPr>
                      <w:rFonts w:cs="Calibri"/>
                      <w:b/>
                      <w:bCs/>
                      <w:noProof/>
                      <w:color w:val="000000"/>
                      <w:sz w:val="24"/>
                      <w:szCs w:val="24"/>
                    </w:rPr>
                    <w:t>MA.7.CCSS.Math.Content.7.EE.A.2</w:t>
                  </w:r>
                </w:p>
              </w:tc>
              <w:tc>
                <w:tcPr>
                  <w:tcW w:w="7606" w:type="dxa"/>
                  <w:tcBorders>
                    <w:top w:val="nil"/>
                    <w:bottom w:val="nil"/>
                    <w:right w:val="nil"/>
                  </w:tcBorders>
                  <w:shd w:val="clear" w:color="auto" w:fill="auto"/>
                </w:tcPr>
                <w:p w:rsidR="00A15AB1" w:rsidRPr="009E0F54" w:rsidRDefault="00A15AB1" w:rsidP="006746C9">
                  <w:pPr>
                    <w:tabs>
                      <w:tab w:val="left" w:pos="7344"/>
                    </w:tabs>
                    <w:spacing w:after="0" w:line="240" w:lineRule="auto"/>
                    <w:rPr>
                      <w:rFonts w:cs="Calibri"/>
                      <w:b/>
                      <w:bCs/>
                      <w:color w:val="000000"/>
                      <w:sz w:val="24"/>
                      <w:szCs w:val="24"/>
                    </w:rPr>
                  </w:pPr>
                  <w:r w:rsidRPr="009E0F54">
                    <w:rPr>
                      <w:rFonts w:cs="Calibri"/>
                      <w:b/>
                      <w:bCs/>
                      <w:noProof/>
                      <w:color w:val="000000"/>
                      <w:sz w:val="24"/>
                      <w:szCs w:val="24"/>
                    </w:rPr>
                    <w:t>Understand that rewriting</w:t>
                  </w:r>
                  <w:r w:rsidRPr="009E0F54">
                    <w:rPr>
                      <w:rFonts w:cs="Calibri"/>
                      <w:b/>
                      <w:bCs/>
                      <w:color w:val="000000"/>
                      <w:sz w:val="24"/>
                      <w:szCs w:val="24"/>
                    </w:rPr>
                    <w:t xml:space="preserve"> an expression in different forms in a problem context can shed light on the problem and how the quantities in it are related. </w:t>
                  </w:r>
                </w:p>
              </w:tc>
            </w:tr>
            <w:tr w:rsidR="00A15AB1" w:rsidRPr="003908DA" w:rsidTr="006746C9">
              <w:trPr>
                <w:trHeight w:val="50"/>
              </w:trPr>
              <w:tc>
                <w:tcPr>
                  <w:tcW w:w="3050" w:type="dxa"/>
                  <w:tcBorders>
                    <w:top w:val="nil"/>
                    <w:left w:val="nil"/>
                    <w:bottom w:val="nil"/>
                  </w:tcBorders>
                  <w:shd w:val="clear" w:color="auto" w:fill="auto"/>
                </w:tcPr>
                <w:p w:rsidR="00A15AB1" w:rsidRPr="009E0F54" w:rsidRDefault="00A15AB1" w:rsidP="006746C9">
                  <w:pPr>
                    <w:spacing w:after="0" w:line="240" w:lineRule="auto"/>
                    <w:ind w:right="-66"/>
                    <w:rPr>
                      <w:rFonts w:cs="Calibri"/>
                      <w:b/>
                      <w:bCs/>
                      <w:color w:val="000000"/>
                      <w:sz w:val="24"/>
                      <w:szCs w:val="24"/>
                    </w:rPr>
                  </w:pPr>
                  <w:r w:rsidRPr="009E0F54">
                    <w:rPr>
                      <w:rFonts w:cs="Calibri"/>
                      <w:b/>
                      <w:bCs/>
                      <w:noProof/>
                      <w:color w:val="000000"/>
                      <w:sz w:val="24"/>
                      <w:szCs w:val="24"/>
                    </w:rPr>
                    <w:t>MA.7.CCSS.Math.Content.7.EE.B.3</w:t>
                  </w:r>
                </w:p>
              </w:tc>
              <w:tc>
                <w:tcPr>
                  <w:tcW w:w="7606" w:type="dxa"/>
                  <w:tcBorders>
                    <w:top w:val="nil"/>
                    <w:bottom w:val="nil"/>
                    <w:right w:val="nil"/>
                  </w:tcBorders>
                  <w:shd w:val="clear" w:color="auto" w:fill="auto"/>
                </w:tcPr>
                <w:p w:rsidR="00A15AB1" w:rsidRPr="009E0F54" w:rsidRDefault="00A15AB1" w:rsidP="006746C9">
                  <w:pPr>
                    <w:tabs>
                      <w:tab w:val="left" w:pos="7344"/>
                    </w:tabs>
                    <w:spacing w:after="0" w:line="240" w:lineRule="auto"/>
                    <w:rPr>
                      <w:rFonts w:cs="Calibri"/>
                      <w:b/>
                      <w:bCs/>
                      <w:color w:val="000000"/>
                      <w:sz w:val="24"/>
                      <w:szCs w:val="24"/>
                    </w:rPr>
                  </w:pPr>
                  <w:r w:rsidRPr="009E0F54">
                    <w:rPr>
                      <w:rFonts w:cs="Calibri"/>
                      <w:b/>
                      <w:bCs/>
                      <w:noProof/>
                      <w:color w:val="000000"/>
                      <w:sz w:val="24"/>
                      <w:szCs w:val="24"/>
                    </w:rPr>
                    <w:t>Solve multi-step real-life</w:t>
                  </w:r>
                  <w:r w:rsidRPr="009E0F54">
                    <w:rPr>
                      <w:rFonts w:cs="Calibri"/>
                      <w:b/>
                      <w:bCs/>
                      <w:color w:val="000000"/>
                      <w:sz w:val="24"/>
                      <w:szCs w:val="24"/>
                    </w:rPr>
                    <w:t xml:space="preserve"> and mathematical problems posed with positive and negative rational numbers in any form (whole numbers, fractions, and decimals), using tools strategically. Apply properties of operations to calculate with numbers in any form; convert between forms as appropriate; and assess the reasonableness of answers using mental computation and estimation strategies. </w:t>
                  </w:r>
                </w:p>
              </w:tc>
            </w:tr>
          </w:tbl>
          <w:p w:rsidR="00A15AB1" w:rsidRDefault="00A15AB1" w:rsidP="006746C9">
            <w:pPr>
              <w:spacing w:after="100" w:line="240" w:lineRule="auto"/>
              <w:rPr>
                <w:sz w:val="16"/>
                <w:szCs w:val="16"/>
              </w:rPr>
            </w:pPr>
          </w:p>
        </w:tc>
      </w:tr>
      <w:tr w:rsidR="00A15AB1" w:rsidRPr="00D96781" w:rsidTr="003672A8">
        <w:trPr>
          <w:gridAfter w:val="1"/>
          <w:wAfter w:w="552" w:type="dxa"/>
          <w:trHeight w:val="165"/>
        </w:trPr>
        <w:tc>
          <w:tcPr>
            <w:tcW w:w="10872" w:type="dxa"/>
            <w:gridSpan w:val="2"/>
            <w:tcBorders>
              <w:bottom w:val="single" w:sz="8" w:space="0" w:color="auto"/>
            </w:tcBorders>
            <w:shd w:val="clear" w:color="auto" w:fill="FFFFFF"/>
            <w:vAlign w:val="center"/>
          </w:tcPr>
          <w:p w:rsidR="00A15AB1" w:rsidRPr="00D96781" w:rsidRDefault="00A15AB1" w:rsidP="006746C9">
            <w:pPr>
              <w:spacing w:after="0" w:line="240" w:lineRule="auto"/>
              <w:rPr>
                <w:rFonts w:cs="Calibri"/>
                <w:sz w:val="16"/>
                <w:szCs w:val="16"/>
              </w:rPr>
            </w:pPr>
            <w:r w:rsidRPr="00FF4641">
              <w:rPr>
                <w:rFonts w:ascii="Tahoma" w:hAnsi="Tahoma" w:cs="Tahoma"/>
                <w:b/>
                <w:noProof/>
                <w:color w:val="292929"/>
                <w:sz w:val="24"/>
                <w:szCs w:val="24"/>
              </w:rPr>
              <w:t>Resources</w:t>
            </w:r>
          </w:p>
        </w:tc>
      </w:tr>
      <w:tr w:rsidR="00A15AB1" w:rsidTr="003672A8">
        <w:trPr>
          <w:gridAfter w:val="1"/>
          <w:wAfter w:w="552" w:type="dxa"/>
          <w:trHeight w:val="165"/>
        </w:trPr>
        <w:tc>
          <w:tcPr>
            <w:tcW w:w="10872" w:type="dxa"/>
            <w:gridSpan w:val="2"/>
          </w:tcPr>
          <w:p w:rsidR="00A15AB1" w:rsidRPr="001F690F" w:rsidRDefault="001F690F" w:rsidP="001F690F">
            <w:pPr>
              <w:pStyle w:val="ListParagraph"/>
              <w:numPr>
                <w:ilvl w:val="0"/>
                <w:numId w:val="5"/>
              </w:numPr>
              <w:spacing w:after="280" w:afterAutospacing="1"/>
              <w:rPr>
                <w:sz w:val="24"/>
                <w:szCs w:val="24"/>
              </w:rPr>
            </w:pPr>
            <w:r w:rsidRPr="001F690F">
              <w:rPr>
                <w:sz w:val="24"/>
                <w:szCs w:val="24"/>
              </w:rPr>
              <w:t>Paper Football Math Activities</w:t>
            </w:r>
          </w:p>
          <w:p w:rsidR="001F690F" w:rsidRPr="001F690F" w:rsidRDefault="001F690F" w:rsidP="001F690F">
            <w:pPr>
              <w:pStyle w:val="ListParagraph"/>
              <w:numPr>
                <w:ilvl w:val="0"/>
                <w:numId w:val="5"/>
              </w:numPr>
              <w:spacing w:after="280" w:afterAutospacing="1"/>
              <w:rPr>
                <w:sz w:val="16"/>
                <w:szCs w:val="16"/>
              </w:rPr>
            </w:pPr>
            <w:r w:rsidRPr="001F690F">
              <w:rPr>
                <w:sz w:val="24"/>
                <w:szCs w:val="24"/>
              </w:rPr>
              <w:lastRenderedPageBreak/>
              <w:t>Touchdown Math</w:t>
            </w:r>
          </w:p>
          <w:p w:rsidR="00A15AB1" w:rsidRDefault="001F690F" w:rsidP="001F690F">
            <w:pPr>
              <w:pStyle w:val="ListParagraph"/>
              <w:numPr>
                <w:ilvl w:val="0"/>
                <w:numId w:val="5"/>
              </w:numPr>
              <w:spacing w:after="280" w:afterAutospacing="1"/>
            </w:pPr>
            <w:r>
              <w:t>Football-Math Connection</w:t>
            </w:r>
          </w:p>
          <w:p w:rsidR="009E0F54" w:rsidRDefault="009E0F54" w:rsidP="009E0F54">
            <w:pPr>
              <w:spacing w:after="280" w:afterAutospacing="1"/>
              <w:ind w:left="360"/>
            </w:pPr>
            <w:r>
              <w:t xml:space="preserve">** The above-mentioned activities were borrowed from the website: </w:t>
            </w:r>
            <w:hyperlink r:id="rId5" w:history="1">
              <w:r w:rsidRPr="000B0747">
                <w:rPr>
                  <w:rStyle w:val="Hyperlink"/>
                </w:rPr>
                <w:t>www.teacherspayteachers.com</w:t>
              </w:r>
            </w:hyperlink>
          </w:p>
          <w:p w:rsidR="009E0F54" w:rsidRPr="001F690F" w:rsidRDefault="009E0F54" w:rsidP="009E0F54">
            <w:pPr>
              <w:spacing w:after="280" w:afterAutospacing="1"/>
              <w:ind w:left="360"/>
            </w:pPr>
          </w:p>
          <w:p w:rsidR="00A15AB1" w:rsidRDefault="00A15AB1" w:rsidP="006746C9">
            <w:pPr>
              <w:spacing w:after="100" w:line="240" w:lineRule="auto"/>
              <w:rPr>
                <w:sz w:val="16"/>
                <w:szCs w:val="16"/>
              </w:rPr>
            </w:pPr>
          </w:p>
        </w:tc>
      </w:tr>
    </w:tbl>
    <w:p w:rsidR="00653F6C" w:rsidRDefault="00653F6C"/>
    <w:sectPr w:rsidR="00653F6C" w:rsidSect="00653F6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52134A"/>
    <w:multiLevelType w:val="hybridMultilevel"/>
    <w:tmpl w:val="47784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D011AA"/>
    <w:multiLevelType w:val="hybridMultilevel"/>
    <w:tmpl w:val="AEF6B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981EEA"/>
    <w:multiLevelType w:val="hybridMultilevel"/>
    <w:tmpl w:val="2034DEA2"/>
    <w:lvl w:ilvl="0" w:tplc="923C75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B6557E"/>
    <w:multiLevelType w:val="hybridMultilevel"/>
    <w:tmpl w:val="141E4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7E5D65"/>
    <w:multiLevelType w:val="hybridMultilevel"/>
    <w:tmpl w:val="6BBEC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551F4F"/>
    <w:multiLevelType w:val="hybridMultilevel"/>
    <w:tmpl w:val="C6288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15AB1"/>
    <w:rsid w:val="000A3E2E"/>
    <w:rsid w:val="001057F4"/>
    <w:rsid w:val="00146C4D"/>
    <w:rsid w:val="001F690F"/>
    <w:rsid w:val="00212662"/>
    <w:rsid w:val="003672A8"/>
    <w:rsid w:val="00653F6C"/>
    <w:rsid w:val="00695A9B"/>
    <w:rsid w:val="0076265F"/>
    <w:rsid w:val="007E512E"/>
    <w:rsid w:val="00891189"/>
    <w:rsid w:val="00907F77"/>
    <w:rsid w:val="009E0F54"/>
    <w:rsid w:val="00A15AB1"/>
    <w:rsid w:val="00BC3383"/>
    <w:rsid w:val="00F1003A"/>
    <w:rsid w:val="00FE3905"/>
    <w:rsid w:val="00FF34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AB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72A8"/>
    <w:pPr>
      <w:ind w:left="720"/>
      <w:contextualSpacing/>
    </w:pPr>
  </w:style>
  <w:style w:type="character" w:styleId="Hyperlink">
    <w:name w:val="Hyperlink"/>
    <w:basedOn w:val="DefaultParagraphFont"/>
    <w:uiPriority w:val="99"/>
    <w:unhideWhenUsed/>
    <w:rsid w:val="009E0F5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eacherspayteacher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465</Words>
  <Characters>2654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Folsom School District</Company>
  <LinksUpToDate>false</LinksUpToDate>
  <CharactersWithSpaces>3113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krussell</dc:creator>
  <cp:lastModifiedBy>krussell</cp:lastModifiedBy>
  <cp:revision>2</cp:revision>
  <dcterms:created xsi:type="dcterms:W3CDTF">2015-01-16T18:06:00Z</dcterms:created>
  <dcterms:modified xsi:type="dcterms:W3CDTF">2015-01-16T18:06:00Z</dcterms:modified>
</cp:coreProperties>
</file>