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3rd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1: Marshmallow/Toothpick Challenge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w:t>
            </w:r>
            <w:r w:rsidDel="00000000" w:rsidR="00000000" w:rsidRPr="00000000">
              <w:rPr>
                <w:rtl w:val="0"/>
              </w:rPr>
              <w:t xml:space="preserve">and be able to define what the steps of the engineering design process are; SWBAT understand the expectations of the Maker Space</w:t>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is engineering?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are the steps of the Engineering Design Process?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is a MakerSpace?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is a constraint?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What is a challenge?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r w:rsidDel="00000000" w:rsidR="00000000" w:rsidRPr="00000000">
              <w:rPr>
                <w:rtl w:val="0"/>
              </w:rPr>
              <w:t xml:space="preserve">work with their teams to construct the tallest freestanding toothpick and marshmallow tower</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WORK.PK-4.9.2.4 C.5, SCI.3-4.5.1.4.A.2, SCI.3-4.5.1.4.B.1, SCI.3-4.5.1.4.B.3, SCI.3-4.5.1.4.B.d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r w:rsidDel="00000000" w:rsidR="00000000" w:rsidRPr="00000000">
              <w:rPr>
                <w:rtl w:val="0"/>
              </w:rPr>
              <w:t xml:space="preserve">Completed Challenge Brief </w:t>
            </w:r>
          </w:p>
          <w:p w:rsidR="00000000" w:rsidDel="00000000" w:rsidP="00000000" w:rsidRDefault="00000000" w:rsidRPr="00000000">
            <w:pPr>
              <w:spacing w:after="280" w:line="276" w:lineRule="auto"/>
              <w:contextualSpacing w:val="0"/>
            </w:pPr>
            <w:r w:rsidDel="00000000" w:rsidR="00000000" w:rsidRPr="00000000">
              <w:rPr>
                <w:rtl w:val="0"/>
              </w:rPr>
              <w:t xml:space="preserve">“Test” of Challenge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ask students if they remember the steps of the engineering design process.  Teachers will tell the students that they will be working on a Team Building STEM activity today.  Teachers will hand out to each team, the Challenge Brief along with materials list.  Students will discuss amongst themselves and assign roles for each member of the team.  The team member who is designated as the Materials person will gather the materials needed from the materials area of the Maker Space.  Students will then work together as a team to construct the tallest freestanding tower from 100 toothpicks and 2 cups of marshmallows.  Teachers will judge to see which group meets the criteria for this challenge.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Challenge Brief packet per group; 2 cups marshmallows and 100 toothpicks per group</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