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3rd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LML Lesson 2:  Taking the Learning Connections Inventory (LCI)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understand that…..each of us have 4 learning patterns and that we all use them differently</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pPr>
            <w:r w:rsidDel="00000000" w:rsidR="00000000" w:rsidRPr="00000000">
              <w:rPr>
                <w:rtl w:val="0"/>
              </w:rPr>
              <w:t xml:space="preserve">Who are you as a learner?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What are the 4 learning patterns?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Which learning pattern is your strongest? Your least strongest?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know….what the 4 LML patterns are and more specifically what THEIR OWN learning patterns are after taking the Learning Connections Inventory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 </w:t>
            </w:r>
            <w:r w:rsidDel="00000000" w:rsidR="00000000" w:rsidRPr="00000000">
              <w:rPr>
                <w:rtl w:val="0"/>
              </w:rPr>
              <w:t xml:space="preserve">SWBAT use the continuum that they learned about in the previous class to identify themselves as learners through a variety of statements</w:t>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u w:val="single"/>
                <w:rtl w:val="0"/>
              </w:rPr>
              <w:t xml:space="preserve">Standards</w:t>
            </w:r>
            <w:r w:rsidDel="00000000" w:rsidR="00000000" w:rsidRPr="00000000">
              <w:rPr>
                <w:color w:val="ffa500"/>
                <w:sz w:val="20"/>
                <w:szCs w:val="20"/>
                <w:rtl w:val="0"/>
              </w:rPr>
              <w:br w:type="textWrapping"/>
              <w:t xml:space="preserve">LA.3.3.1.3 H.2, LA.3.3.2.3 A.1, LA.3.3.4.3 A.1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spacing w:after="20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00" w:line="276" w:lineRule="auto"/>
              <w:contextualSpacing w:val="0"/>
            </w:pPr>
            <w:r w:rsidDel="00000000" w:rsidR="00000000" w:rsidRPr="00000000">
              <w:rPr>
                <w:rtl w:val="0"/>
              </w:rPr>
              <w:t xml:space="preserve"> Student Participation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Teachers will hand out Learning Detective Books and will continue with students on page 7. Teacher will remind students of the flip charts they made in the previous class block.  Teachers will ask students to recall the different choices of the continuum (NEVER EVER, ALMOST NEVER, SOMETIMES, ALMOST ALWAYS, ALWAYS) and will complete page 7 and discuss.  Teacher will then ask students to turn to the next page in their Learning Detective Books and they will begin the LCI with the teacher reading the statements while the other teacher walks around the class to monitor student responses (no one should be answering too many SOMETIMES or all NEVER EVERS or ALWAYS, for this will skew their scores).</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Learning Detective Books(one per student); pencils; student-made flipcharts</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