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C80C64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Simplify Rational Exponents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HSN-RN.A.1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[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Standard</w:t>
            </w:r>
            <w:r>
              <w:rPr>
                <w:rFonts w:ascii="Verdana" w:hAnsi="Verdana" w:cs="Verdana"/>
                <w:sz w:val="20"/>
                <w:szCs w:val="20"/>
              </w:rPr>
              <w:t>] - Explain how the definition of the meaning of rational exponents follows from extending the properties of integer exponents to those values, allowing for a notation for radicals in terms of rational exponents.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rational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, radical form, exponential form, index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relates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expressions containing rational exponents to the corresponding radical expressions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C80C64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80C64" w:rsidRDefault="00C80C64" w:rsidP="00C80C64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</w:t>
      </w:r>
    </w:p>
    <w:p w:rsidR="00C80C64" w:rsidRDefault="00C80C64" w:rsidP="00C80C64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C80C64" w:rsidRDefault="00C80C64" w:rsidP="00C80C64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C80C64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Solve Radical Equations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HSA-REI.A.2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[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Standard</w:t>
            </w:r>
            <w:r>
              <w:rPr>
                <w:rFonts w:ascii="Verdana" w:hAnsi="Verdana" w:cs="Verdana"/>
                <w:sz w:val="20"/>
                <w:szCs w:val="20"/>
              </w:rPr>
              <w:t>] - Solve simple rational and radical equations in one variable, and give examples showing how extraneous solutions may arise.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extraneous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solution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solves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problems involving radical functions</w:t>
            </w:r>
          </w:p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0C6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C80C64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C80C64" w:rsidRDefault="00C80C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75109" w:rsidRPr="00C80C64" w:rsidRDefault="00A75109" w:rsidP="00C80C64">
      <w:bookmarkStart w:id="0" w:name="_GoBack"/>
      <w:bookmarkEnd w:id="0"/>
    </w:p>
    <w:sectPr w:rsidR="00A75109" w:rsidRPr="00C80C64" w:rsidSect="00123C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357333"/>
    <w:rsid w:val="0075281A"/>
    <w:rsid w:val="00A75109"/>
    <w:rsid w:val="00C80C64"/>
    <w:rsid w:val="00D7459E"/>
    <w:rsid w:val="00D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Macintosh Word</Application>
  <DocSecurity>0</DocSecurity>
  <Lines>21</Lines>
  <Paragraphs>5</Paragraphs>
  <ScaleCrop>false</ScaleCrop>
  <Company>Eastern Camden County Regional School District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cp:lastPrinted>2015-09-10T16:31:00Z</cp:lastPrinted>
  <dcterms:created xsi:type="dcterms:W3CDTF">2015-09-10T16:35:00Z</dcterms:created>
  <dcterms:modified xsi:type="dcterms:W3CDTF">2015-09-10T16:35:00Z</dcterms:modified>
</cp:coreProperties>
</file>