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bookmarkStart w:colFirst="0" w:colLast="0" w:name="_h3ehmy3r2hgu" w:id="0"/>
      <w:bookmarkEnd w:id="0"/>
      <w:r w:rsidDel="00000000" w:rsidR="00000000" w:rsidRPr="00000000">
        <w:rPr>
          <w:b w:val="1"/>
          <w:rtl w:val="0"/>
        </w:rPr>
        <w:t xml:space="preserve">Klinger/Sobota 2024-2025</w:t>
      </w:r>
    </w:p>
    <w:p w:rsidR="00000000" w:rsidDel="00000000" w:rsidP="00000000" w:rsidRDefault="00000000" w:rsidRPr="00000000" w14:paraId="00000002">
      <w:pPr>
        <w:rPr>
          <w:b w:val="1"/>
        </w:rPr>
      </w:pPr>
      <w:bookmarkStart w:colFirst="0" w:colLast="0" w:name="_gjdgxs" w:id="1"/>
      <w:bookmarkEnd w:id="1"/>
      <w:r w:rsidDel="00000000" w:rsidR="00000000" w:rsidRPr="00000000">
        <w:rPr>
          <w:b w:val="1"/>
          <w:rtl w:val="0"/>
        </w:rPr>
        <w:t xml:space="preserve">TECH </w:t>
      </w:r>
      <w:r w:rsidDel="00000000" w:rsidR="00000000" w:rsidRPr="00000000">
        <w:rPr>
          <w:b w:val="1"/>
          <w:rtl w:val="0"/>
        </w:rPr>
        <w:t xml:space="preserve">ASSESSMENTS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Formative Assessments: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K-W-L charts to determine student prior knowledge &amp; use of relevant Connections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Graphic Organizers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Post-it responses as a temperature gauge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Thumbs up, thumbs down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Game activities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Teacher-made pretests, observation/checklist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Checking for understanding activities (Exit Slips)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Summative Assessments: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Learning.com Unit Assessments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Common Sense Media Digital Citizenship Assessments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Keyboarding Assessment Tests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KIBO coding projects grades 1, 2,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Benchmarks: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Learning.com 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Quizze</w:t>
      </w:r>
      <w:r w:rsidDel="00000000" w:rsidR="00000000" w:rsidRPr="00000000">
        <w:rPr>
          <w:rtl w:val="0"/>
        </w:rPr>
        <w:t xml:space="preserve">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Learning.com Skills Checks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Common Sense Media Quizzes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Brainpop jr Quizzes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Extension Activities: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Google Doc Projects grades K, 1,2,3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Google Sheets Projects grades 2, 3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Google Slides Projects grades 2, 3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Research trading cards- grades 2,3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