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08"/>
        <w:gridCol w:w="5508"/>
        <w:tblGridChange w:id="0">
          <w:tblGrid>
            <w:gridCol w:w="5508"/>
            <w:gridCol w:w="5508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99ccff" w:val="clear"/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b w:val="0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b w:val="1"/>
                <w:sz w:val="40"/>
                <w:szCs w:val="40"/>
                <w:vertAlign w:val="baseline"/>
                <w:rtl w:val="0"/>
              </w:rPr>
              <w:t xml:space="preserve">Instructional Lesson Plan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4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Content Area(s)/Course/Grade: </w:t>
            </w:r>
            <w:r w:rsidDel="00000000" w:rsidR="00000000" w:rsidRPr="00000000">
              <w:rPr>
                <w:rtl w:val="0"/>
              </w:rPr>
              <w:t xml:space="preserve">4th Grade Language Arts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rPr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Unit: </w:t>
            </w:r>
            <w:r w:rsidDel="00000000" w:rsidR="00000000" w:rsidRPr="00000000">
              <w:rPr>
                <w:rtl w:val="0"/>
              </w:rPr>
              <w:t xml:space="preserve">Illustrator Study- Floyd Cooper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Lesson Topic: Segregation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Approx. Date/s</w:t>
            </w: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: February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Diversity Integration Topic: Black History Month</w:t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NJSL Standard/s:</w:t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NJSLSA.R1.  NJSLSA.R2.  NJSLSA.R9  RL.4.1.</w:t>
            </w:r>
          </w:p>
        </w:tc>
      </w:tr>
      <w:tr>
        <w:trPr>
          <w:cantSplit w:val="0"/>
          <w:trHeight w:val="983.90625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Textbook, Materials, Resources: </w:t>
            </w:r>
          </w:p>
          <w:p w:rsidR="00000000" w:rsidDel="00000000" w:rsidP="00000000" w:rsidRDefault="00000000" w:rsidRPr="00000000" w14:paraId="00000010">
            <w:pPr>
              <w:spacing w:after="160" w:line="259" w:lineRule="auto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Picture book:Ruth and the Green Book and  These Hands by Floyd Cooper</w:t>
            </w: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, SMART TV, reading notebooks, additional Floyd Cooper texts for higher level learners.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99ccff" w:val="clear"/>
            <w:vAlign w:val="top"/>
          </w:tcPr>
          <w:p w:rsidR="00000000" w:rsidDel="00000000" w:rsidP="00000000" w:rsidRDefault="00000000" w:rsidRPr="00000000" w14:paraId="00000012">
            <w:pPr>
              <w:rPr>
                <w:b w:val="1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Lesson Objective: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spacing w:after="160" w:line="259" w:lineRule="auto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Students will be able to examine the conditions that African Americans were faced with during segregation. Students will be able to i</w:t>
            </w: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dentify how individuals and groups responded to the violation of fundamental rights and how supporting the community can help with these situations.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99ccff" w:val="clear"/>
            <w:vAlign w:val="top"/>
          </w:tcPr>
          <w:p w:rsidR="00000000" w:rsidDel="00000000" w:rsidP="00000000" w:rsidRDefault="00000000" w:rsidRPr="00000000" w14:paraId="00000016">
            <w:pPr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Instructional Delivery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18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Culturally Responsive Teaching strategy</w:t>
            </w: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9">
            <w:pPr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Class Discussion, Review, Actively process information, Visual aides such as books, technology integration including a video about Floyd Cooper himself and his experiences to draw a real life connection. Interactive Read aloud to include “These Hands”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Procedures: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spacing w:after="0" w:line="259" w:lineRule="auto"/>
              <w:ind w:left="720" w:hanging="360"/>
              <w:rPr>
                <w:rFonts w:ascii="Century Gothic" w:cs="Century Gothic" w:eastAsia="Century Gothic" w:hAnsi="Century Gothic"/>
                <w:highlight w:val="whit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highlight w:val="white"/>
                <w:rtl w:val="0"/>
              </w:rPr>
              <w:t xml:space="preserve">Discuss segregation. 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Share answers to questions / Journal Entry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Century Gothic" w:cs="Century Gothic" w:eastAsia="Century Gothic" w:hAnsi="Century Gothic"/>
                <w:i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1"/>
                <w:rtl w:val="0"/>
              </w:rPr>
              <w:t xml:space="preserve">Highly Capable students will be participating in an independent book study with additional books from Floyd Cooper.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000000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020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Assessment/Evaluation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22">
            <w:pPr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Formative/Summative: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Journal entry that involves describing the emotions in both books as well as how they make you feel. Think back to other books we’ve read / you’ve read that have similar themes.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25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Closure:</w:t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end with a class discussion based on segregation that was highlighted in both books read for this unit.  </w:t>
            </w:r>
          </w:p>
          <w:p w:rsidR="00000000" w:rsidDel="00000000" w:rsidP="00000000" w:rsidRDefault="00000000" w:rsidRPr="00000000" w14:paraId="00000027">
            <w:pPr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>
          <w:rFonts w:ascii="Calibri" w:cs="Calibri" w:eastAsia="Calibri" w:hAnsi="Calibri"/>
          <w:color w:val="f3f3f3"/>
          <w:sz w:val="8"/>
          <w:szCs w:val="8"/>
        </w:rPr>
      </w:pPr>
      <w:hyperlink r:id="rId7">
        <w:r w:rsidDel="00000000" w:rsidR="00000000" w:rsidRPr="00000000">
          <w:rPr>
            <w:rFonts w:ascii="Calibri" w:cs="Calibri" w:eastAsia="Calibri" w:hAnsi="Calibri"/>
            <w:color w:val="f3f3f3"/>
            <w:sz w:val="8"/>
            <w:szCs w:val="8"/>
            <w:u w:val="single"/>
            <w:rtl w:val="0"/>
          </w:rPr>
          <w:t xml:space="preserve">weekly lesson plan template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Teacher’s Name submitting plan: </w:t>
      </w:r>
      <w:hyperlink r:id="rId8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Marissa Boylston</w:t>
        </w:r>
      </w:hyperlink>
      <w:r w:rsidDel="00000000" w:rsidR="00000000" w:rsidRPr="00000000">
        <w:rPr>
          <w:b w:val="1"/>
          <w:rtl w:val="0"/>
        </w:rPr>
        <w:t xml:space="preserve">, </w:t>
      </w:r>
      <w:hyperlink r:id="rId9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Jill Maiorano</w:t>
        </w:r>
      </w:hyperlink>
      <w:r w:rsidDel="00000000" w:rsidR="00000000" w:rsidRPr="00000000">
        <w:rPr>
          <w:b w:val="1"/>
          <w:rtl w:val="0"/>
        </w:rPr>
        <w:t xml:space="preserve">, </w:t>
      </w:r>
      <w:hyperlink r:id="rId10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Samantha Church</w:t>
        </w:r>
      </w:hyperlink>
      <w:r w:rsidDel="00000000" w:rsidR="00000000" w:rsidRPr="00000000">
        <w:rPr>
          <w:b w:val="1"/>
          <w:rtl w:val="0"/>
        </w:rPr>
        <w:t xml:space="preserve">, </w:t>
      </w:r>
      <w:hyperlink r:id="rId11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Lauren Dessel</w:t>
        </w:r>
      </w:hyperlink>
      <w:r w:rsidDel="00000000" w:rsidR="00000000" w:rsidRPr="00000000">
        <w:rPr>
          <w:b w:val="1"/>
          <w:rtl w:val="0"/>
        </w:rPr>
        <w:t xml:space="preserve"> Samantha Rolfs </w:t>
      </w:r>
    </w:p>
    <w:p w:rsidR="00000000" w:rsidDel="00000000" w:rsidP="00000000" w:rsidRDefault="00000000" w:rsidRPr="00000000" w14:paraId="0000002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Date submitted: 12/12/22</w:t>
      </w:r>
    </w:p>
    <w:p w:rsidR="00000000" w:rsidDel="00000000" w:rsidP="00000000" w:rsidRDefault="00000000" w:rsidRPr="00000000" w14:paraId="0000002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80" w:top="18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omic Sans MS"/>
  <w:font w:name="Georgia"/>
  <w:font w:name="Arial"/>
  <w:font w:name="Calibri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omic Sans MS" w:cs="Comic Sans MS" w:eastAsia="Comic Sans MS" w:hAnsi="Comic Sans MS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mic Sans MS" w:hAnsi="Comic Sans MS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ldessel@milltownps.org" TargetMode="External"/><Relationship Id="rId10" Type="http://schemas.openxmlformats.org/officeDocument/2006/relationships/hyperlink" Target="mailto:schurch@milltownps.org" TargetMode="External"/><Relationship Id="rId9" Type="http://schemas.openxmlformats.org/officeDocument/2006/relationships/hyperlink" Target="mailto:jmaiorano@milltownps.or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edutechspot.com/lesson-plan-template-google-docs/" TargetMode="External"/><Relationship Id="rId8" Type="http://schemas.openxmlformats.org/officeDocument/2006/relationships/hyperlink" Target="mailto:mboylston@milltownps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V9O6kKCydMTOwrhQ/0jxGYKFIg==">AMUW2mWRlV/u6EyvPJIZYatjkn6p0L5CaPzrRRFkxkOVy9CtgfunlL12npsDaBI5DAb2JFmTrI3IViv/NTnH/qnZ5wmiomAuU7QTY0aAczXEHzFnHenxOx8=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2005-08-16T17:27:00Z</dcterms:created>
  <dc:creator>Rusty Mumford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1214317929</vt:i4>
  </property>
  <property fmtid="{D5CDD505-2E9C-101B-9397-08002B2CF9AE}" pid="3" name="_EmailSubject">
    <vt:lpwstr>Module II oops</vt:lpwstr>
  </property>
  <property fmtid="{D5CDD505-2E9C-101B-9397-08002B2CF9AE}" pid="4" name="_AuthorEmail">
    <vt:lpwstr>VoelkerC@calvertnet.k12.md.us</vt:lpwstr>
  </property>
  <property fmtid="{D5CDD505-2E9C-101B-9397-08002B2CF9AE}" pid="5" name="_AuthorEmailDisplayName">
    <vt:lpwstr>Voelker, Chris</vt:lpwstr>
  </property>
</Properties>
</file>