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blHeader w:val="0"/>
        </w:trPr>
        <w:tc>
          <w:tcPr>
            <w:gridSpan w:val="2"/>
            <w:shd w:fill="99ccff" w:val="clear"/>
            <w:vAlign w:val="top"/>
          </w:tcPr>
          <w:p w:rsidR="00000000" w:rsidDel="00000000" w:rsidP="00000000" w:rsidRDefault="00000000" w:rsidRPr="00000000" w14:paraId="00000002">
            <w:pPr>
              <w:jc w:val="center"/>
              <w:rPr>
                <w:b w:val="0"/>
                <w:sz w:val="40"/>
                <w:szCs w:val="40"/>
                <w:vertAlign w:val="baseline"/>
              </w:rPr>
            </w:pPr>
            <w:r w:rsidDel="00000000" w:rsidR="00000000" w:rsidRPr="00000000">
              <w:rPr>
                <w:b w:val="1"/>
                <w:sz w:val="40"/>
                <w:szCs w:val="40"/>
                <w:vertAlign w:val="baseline"/>
                <w:rtl w:val="0"/>
              </w:rPr>
              <w:t xml:space="preserve">Instructional Lesson Plan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rPr>
                <w:color w:val="000000"/>
                <w:vertAlign w:val="baseline"/>
              </w:rPr>
            </w:pPr>
            <w:r w:rsidDel="00000000" w:rsidR="00000000" w:rsidRPr="00000000">
              <w:rPr>
                <w:color w:val="000000"/>
                <w:vertAlign w:val="baseline"/>
                <w:rtl w:val="0"/>
              </w:rPr>
              <w:t xml:space="preserve">Content Area(s)/Course/Grade:</w:t>
            </w:r>
          </w:p>
          <w:p w:rsidR="00000000" w:rsidDel="00000000" w:rsidP="00000000" w:rsidRDefault="00000000" w:rsidRPr="00000000" w14:paraId="00000005">
            <w:pPr>
              <w:rPr>
                <w:b w:val="1"/>
              </w:rPr>
            </w:pPr>
            <w:r w:rsidDel="00000000" w:rsidR="00000000" w:rsidRPr="00000000">
              <w:rPr>
                <w:b w:val="1"/>
                <w:rtl w:val="0"/>
              </w:rPr>
              <w:t xml:space="preserve">ELA/Grade 8</w:t>
            </w:r>
          </w:p>
          <w:p w:rsidR="00000000" w:rsidDel="00000000" w:rsidP="00000000" w:rsidRDefault="00000000" w:rsidRPr="00000000" w14:paraId="00000006">
            <w:pPr>
              <w:rPr>
                <w:vertAlign w:val="baseline"/>
              </w:rPr>
            </w:pPr>
            <w:r w:rsidDel="00000000" w:rsidR="00000000" w:rsidRPr="00000000">
              <w:rPr>
                <w:rtl w:val="0"/>
              </w:rPr>
            </w:r>
          </w:p>
        </w:tc>
        <w:tc>
          <w:tcPr>
            <w:vAlign w:val="top"/>
          </w:tcPr>
          <w:p w:rsidR="00000000" w:rsidDel="00000000" w:rsidP="00000000" w:rsidRDefault="00000000" w:rsidRPr="00000000" w14:paraId="00000007">
            <w:pPr>
              <w:rPr>
                <w:color w:val="000000"/>
                <w:vertAlign w:val="baseline"/>
              </w:rPr>
            </w:pPr>
            <w:r w:rsidDel="00000000" w:rsidR="00000000" w:rsidRPr="00000000">
              <w:rPr>
                <w:color w:val="000000"/>
                <w:vertAlign w:val="baseline"/>
                <w:rtl w:val="0"/>
              </w:rPr>
              <w:t xml:space="preserve">Unit:</w:t>
            </w:r>
          </w:p>
          <w:p w:rsidR="00000000" w:rsidDel="00000000" w:rsidP="00000000" w:rsidRDefault="00000000" w:rsidRPr="00000000" w14:paraId="00000008">
            <w:pPr>
              <w:rPr>
                <w:b w:val="1"/>
              </w:rPr>
            </w:pPr>
            <w:r w:rsidDel="00000000" w:rsidR="00000000" w:rsidRPr="00000000">
              <w:rPr>
                <w:b w:val="1"/>
                <w:rtl w:val="0"/>
              </w:rPr>
              <w:t xml:space="preserve">Marking Period 4</w:t>
            </w:r>
          </w:p>
        </w:tc>
      </w:tr>
      <w:tr>
        <w:trPr>
          <w:cantSplit w:val="0"/>
          <w:tblHeader w:val="0"/>
        </w:trPr>
        <w:tc>
          <w:tcPr>
            <w:vAlign w:val="top"/>
          </w:tcPr>
          <w:p w:rsidR="00000000" w:rsidDel="00000000" w:rsidP="00000000" w:rsidRDefault="00000000" w:rsidRPr="00000000" w14:paraId="00000009">
            <w:pPr>
              <w:rPr>
                <w:color w:val="000000"/>
                <w:vertAlign w:val="baseline"/>
              </w:rPr>
            </w:pPr>
            <w:r w:rsidDel="00000000" w:rsidR="00000000" w:rsidRPr="00000000">
              <w:rPr>
                <w:color w:val="000000"/>
                <w:vertAlign w:val="baseline"/>
                <w:rtl w:val="0"/>
              </w:rPr>
              <w:t xml:space="preserve">Lesson Topic:</w:t>
            </w:r>
          </w:p>
          <w:p w:rsidR="00000000" w:rsidDel="00000000" w:rsidP="00000000" w:rsidRDefault="00000000" w:rsidRPr="00000000" w14:paraId="0000000A">
            <w:pPr>
              <w:rPr>
                <w:b w:val="1"/>
              </w:rPr>
            </w:pPr>
            <w:r w:rsidDel="00000000" w:rsidR="00000000" w:rsidRPr="00000000">
              <w:rPr>
                <w:b w:val="1"/>
                <w:i w:val="1"/>
                <w:rtl w:val="0"/>
              </w:rPr>
              <w:t xml:space="preserve">Dear Martin </w:t>
            </w:r>
            <w:r w:rsidDel="00000000" w:rsidR="00000000" w:rsidRPr="00000000">
              <w:rPr>
                <w:b w:val="1"/>
                <w:rtl w:val="0"/>
              </w:rPr>
              <w:t xml:space="preserve">by Nic Stone </w:t>
            </w:r>
          </w:p>
          <w:p w:rsidR="00000000" w:rsidDel="00000000" w:rsidP="00000000" w:rsidRDefault="00000000" w:rsidRPr="00000000" w14:paraId="0000000B">
            <w:pPr>
              <w:rPr>
                <w:b w:val="1"/>
              </w:rPr>
            </w:pPr>
            <w:r w:rsidDel="00000000" w:rsidR="00000000" w:rsidRPr="00000000">
              <w:rPr>
                <w:b w:val="1"/>
                <w:rtl w:val="0"/>
              </w:rPr>
              <w:t xml:space="preserve">“Theme Triangle”</w:t>
            </w:r>
          </w:p>
          <w:p w:rsidR="00000000" w:rsidDel="00000000" w:rsidP="00000000" w:rsidRDefault="00000000" w:rsidRPr="00000000" w14:paraId="0000000C">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00D">
            <w:pPr>
              <w:rPr>
                <w:color w:val="000000"/>
                <w:vertAlign w:val="baseline"/>
              </w:rPr>
            </w:pPr>
            <w:r w:rsidDel="00000000" w:rsidR="00000000" w:rsidRPr="00000000">
              <w:rPr>
                <w:rtl w:val="0"/>
              </w:rPr>
              <w:t xml:space="preserve">Approx. Date/s</w:t>
            </w:r>
            <w:r w:rsidDel="00000000" w:rsidR="00000000" w:rsidRPr="00000000">
              <w:rPr>
                <w:color w:val="000000"/>
                <w:vertAlign w:val="baseline"/>
                <w:rtl w:val="0"/>
              </w:rPr>
              <w:t xml:space="preserve">:</w:t>
            </w:r>
          </w:p>
          <w:p w:rsidR="00000000" w:rsidDel="00000000" w:rsidP="00000000" w:rsidRDefault="00000000" w:rsidRPr="00000000" w14:paraId="0000000E">
            <w:pPr>
              <w:rPr>
                <w:b w:val="1"/>
              </w:rPr>
            </w:pPr>
            <w:r w:rsidDel="00000000" w:rsidR="00000000" w:rsidRPr="00000000">
              <w:rPr>
                <w:b w:val="1"/>
                <w:rtl w:val="0"/>
              </w:rPr>
              <w:t xml:space="preserve">May-June</w:t>
            </w:r>
          </w:p>
        </w:tc>
      </w:tr>
      <w:tr>
        <w:trPr>
          <w:cantSplit w:val="0"/>
          <w:tblHeader w:val="0"/>
        </w:trPr>
        <w:tc>
          <w:tcPr>
            <w:vAlign w:val="top"/>
          </w:tcPr>
          <w:p w:rsidR="00000000" w:rsidDel="00000000" w:rsidP="00000000" w:rsidRDefault="00000000" w:rsidRPr="00000000" w14:paraId="0000000F">
            <w:pPr>
              <w:rPr/>
            </w:pPr>
            <w:r w:rsidDel="00000000" w:rsidR="00000000" w:rsidRPr="00000000">
              <w:rPr>
                <w:rtl w:val="0"/>
              </w:rPr>
              <w:t xml:space="preserve">Diversity Integration Topic:</w:t>
            </w:r>
          </w:p>
          <w:p w:rsidR="00000000" w:rsidDel="00000000" w:rsidP="00000000" w:rsidRDefault="00000000" w:rsidRPr="00000000" w14:paraId="00000010">
            <w:pPr>
              <w:rPr>
                <w:b w:val="1"/>
              </w:rPr>
            </w:pPr>
            <w:r w:rsidDel="00000000" w:rsidR="00000000" w:rsidRPr="00000000">
              <w:rPr>
                <w:b w:val="1"/>
                <w:rtl w:val="0"/>
              </w:rPr>
              <w:t xml:space="preserve">Social Justice</w:t>
            </w:r>
          </w:p>
          <w:p w:rsidR="00000000" w:rsidDel="00000000" w:rsidP="00000000" w:rsidRDefault="00000000" w:rsidRPr="00000000" w14:paraId="00000011">
            <w:pPr>
              <w:rPr/>
            </w:pPr>
            <w:r w:rsidDel="00000000" w:rsidR="00000000" w:rsidRPr="00000000">
              <w:rPr>
                <w:rtl w:val="0"/>
              </w:rPr>
            </w:r>
          </w:p>
        </w:tc>
        <w:tc>
          <w:tcPr>
            <w:vAlign w:val="top"/>
          </w:tcPr>
          <w:p w:rsidR="00000000" w:rsidDel="00000000" w:rsidP="00000000" w:rsidRDefault="00000000" w:rsidRPr="00000000" w14:paraId="00000012">
            <w:pPr>
              <w:rPr/>
            </w:pPr>
            <w:r w:rsidDel="00000000" w:rsidR="00000000" w:rsidRPr="00000000">
              <w:rPr>
                <w:rtl w:val="0"/>
              </w:rPr>
              <w:t xml:space="preserve">NJSL Standard/s: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NJSLSA.R7. Integrate and evaluate content presented in diverse media and formats, including visually and quantitatively, as well as in words.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WHST.6-8.6. Use technology, including the Internet, to produce and publish writing and present the relationships between information and ideas clearly and efficiently.</w:t>
            </w:r>
          </w:p>
        </w:tc>
      </w:tr>
      <w:tr>
        <w:trPr>
          <w:cantSplit w:val="0"/>
          <w:trHeight w:val="983.90625" w:hRule="atLeast"/>
          <w:tblHeader w:val="0"/>
        </w:trPr>
        <w:tc>
          <w:tcPr>
            <w:gridSpan w:val="2"/>
            <w:vAlign w:val="top"/>
          </w:tcPr>
          <w:p w:rsidR="00000000" w:rsidDel="00000000" w:rsidP="00000000" w:rsidRDefault="00000000" w:rsidRPr="00000000" w14:paraId="00000017">
            <w:pPr>
              <w:rPr/>
            </w:pPr>
            <w:r w:rsidDel="00000000" w:rsidR="00000000" w:rsidRPr="00000000">
              <w:rPr>
                <w:rtl w:val="0"/>
              </w:rPr>
              <w:t xml:space="preserve">Textbook, Materials, Resources: </w:t>
            </w:r>
          </w:p>
          <w:p w:rsidR="00000000" w:rsidDel="00000000" w:rsidP="00000000" w:rsidRDefault="00000000" w:rsidRPr="00000000" w14:paraId="00000018">
            <w:pPr>
              <w:rPr>
                <w:b w:val="1"/>
                <w:color w:val="000000"/>
                <w:vertAlign w:val="baseline"/>
              </w:rPr>
            </w:pPr>
            <w:r w:rsidDel="00000000" w:rsidR="00000000" w:rsidRPr="00000000">
              <w:rPr>
                <w:b w:val="1"/>
                <w:i w:val="1"/>
                <w:rtl w:val="0"/>
              </w:rPr>
              <w:t xml:space="preserve">Dear Martin</w:t>
            </w:r>
            <w:r w:rsidDel="00000000" w:rsidR="00000000" w:rsidRPr="00000000">
              <w:rPr>
                <w:b w:val="1"/>
                <w:rtl w:val="0"/>
              </w:rPr>
              <w:t xml:space="preserve">, Nic Stone, </w:t>
            </w:r>
            <w:r w:rsidDel="00000000" w:rsidR="00000000" w:rsidRPr="00000000">
              <w:rPr>
                <w:b w:val="1"/>
                <w:rtl w:val="0"/>
              </w:rPr>
              <w:t xml:space="preserve">movie (with similar theme), other art (song, poem, art)</w:t>
            </w: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1A">
            <w:pPr>
              <w:rPr>
                <w:b w:val="1"/>
                <w:color w:val="000000"/>
                <w:vertAlign w:val="baseline"/>
              </w:rPr>
            </w:pPr>
            <w:r w:rsidDel="00000000" w:rsidR="00000000" w:rsidRPr="00000000">
              <w:rPr>
                <w:b w:val="1"/>
                <w:rtl w:val="0"/>
              </w:rPr>
              <w:t xml:space="preserve">Lesson Objective:</w:t>
            </w: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1C">
            <w:pPr>
              <w:rPr>
                <w:b w:val="1"/>
              </w:rPr>
            </w:pPr>
            <w:r w:rsidDel="00000000" w:rsidR="00000000" w:rsidRPr="00000000">
              <w:rPr>
                <w:b w:val="1"/>
                <w:rtl w:val="0"/>
              </w:rPr>
              <w:t xml:space="preserve">SWBAT develop an awareness of diversity related to the novel, </w:t>
            </w:r>
            <w:r w:rsidDel="00000000" w:rsidR="00000000" w:rsidRPr="00000000">
              <w:rPr>
                <w:b w:val="1"/>
                <w:i w:val="1"/>
                <w:rtl w:val="0"/>
              </w:rPr>
              <w:t xml:space="preserve">Dear Martin, </w:t>
            </w:r>
            <w:r w:rsidDel="00000000" w:rsidR="00000000" w:rsidRPr="00000000">
              <w:rPr>
                <w:b w:val="1"/>
                <w:rtl w:val="0"/>
              </w:rPr>
              <w:t xml:space="preserve">to analyze Justyce (the main character) coming to terms with his identity in a changing world.</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SWBAT connect the novel, </w:t>
            </w:r>
            <w:r w:rsidDel="00000000" w:rsidR="00000000" w:rsidRPr="00000000">
              <w:rPr>
                <w:b w:val="1"/>
                <w:i w:val="1"/>
                <w:rtl w:val="0"/>
              </w:rPr>
              <w:t xml:space="preserve">Dear Martin, </w:t>
            </w:r>
            <w:r w:rsidDel="00000000" w:rsidR="00000000" w:rsidRPr="00000000">
              <w:rPr>
                <w:b w:val="1"/>
                <w:rtl w:val="0"/>
              </w:rPr>
              <w:t xml:space="preserve">to different texts or media with similar themes. </w:t>
            </w:r>
          </w:p>
          <w:p w:rsidR="00000000" w:rsidDel="00000000" w:rsidP="00000000" w:rsidRDefault="00000000" w:rsidRPr="00000000" w14:paraId="0000001F">
            <w:pPr>
              <w:rPr>
                <w:b w:val="0"/>
                <w:color w:val="000000"/>
                <w:vertAlign w:val="baseline"/>
              </w:rPr>
            </w:pPr>
            <w:r w:rsidDel="00000000" w:rsidR="00000000" w:rsidRPr="00000000">
              <w:rPr>
                <w:rtl w:val="0"/>
              </w:rPr>
            </w:r>
          </w:p>
        </w:tc>
      </w:tr>
      <w:tr>
        <w:trPr>
          <w:cantSplit w:val="0"/>
          <w:tblHeader w:val="0"/>
        </w:trPr>
        <w:tc>
          <w:tcPr>
            <w:gridSpan w:val="2"/>
            <w:shd w:fill="99ccff" w:val="clear"/>
            <w:vAlign w:val="top"/>
          </w:tcPr>
          <w:p w:rsidR="00000000" w:rsidDel="00000000" w:rsidP="00000000" w:rsidRDefault="00000000" w:rsidRPr="00000000" w14:paraId="00000021">
            <w:pPr>
              <w:rPr>
                <w:b w:val="0"/>
                <w:color w:val="000000"/>
                <w:vertAlign w:val="baseline"/>
              </w:rPr>
            </w:pPr>
            <w:r w:rsidDel="00000000" w:rsidR="00000000" w:rsidRPr="00000000">
              <w:rPr>
                <w:b w:val="1"/>
                <w:color w:val="000000"/>
                <w:vertAlign w:val="baseline"/>
                <w:rtl w:val="0"/>
              </w:rPr>
              <w:t xml:space="preserve">Instructional Delivery</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23">
            <w:pPr>
              <w:rPr>
                <w:color w:val="000000"/>
                <w:vertAlign w:val="baseline"/>
              </w:rPr>
            </w:pPr>
            <w:r w:rsidDel="00000000" w:rsidR="00000000" w:rsidRPr="00000000">
              <w:rPr>
                <w:rtl w:val="0"/>
              </w:rPr>
              <w:t xml:space="preserve">Culturally Responsive Teaching strategy</w:t>
            </w:r>
            <w:r w:rsidDel="00000000" w:rsidR="00000000" w:rsidRPr="00000000">
              <w:rPr>
                <w:color w:val="000000"/>
                <w:vertAlign w:val="baseline"/>
                <w:rtl w:val="0"/>
              </w:rPr>
              <w:t xml:space="preserve">: Teacher will </w:t>
            </w:r>
            <w:r w:rsidDel="00000000" w:rsidR="00000000" w:rsidRPr="00000000">
              <w:rPr>
                <w:rtl w:val="0"/>
              </w:rPr>
              <w:t xml:space="preserve">help students discuss and learn about current issues that are meaningful to them, including immigration, community-police relations, environmental concerns, and race relations. The goal is not to tell students what to think, but to teach them how to become informed and engage in respectful dialogue. </w:t>
            </w:r>
            <w:r w:rsidDel="00000000" w:rsidR="00000000" w:rsidRPr="00000000">
              <w:rPr>
                <w:rtl w:val="0"/>
              </w:rPr>
            </w:r>
          </w:p>
          <w:p w:rsidR="00000000" w:rsidDel="00000000" w:rsidP="00000000" w:rsidRDefault="00000000" w:rsidRPr="00000000" w14:paraId="00000024">
            <w:pPr>
              <w:rPr>
                <w:color w:val="000000"/>
                <w:vertAlign w:val="baseline"/>
              </w:rPr>
            </w:pPr>
            <w:r w:rsidDel="00000000" w:rsidR="00000000" w:rsidRPr="00000000">
              <w:rPr>
                <w:rtl w:val="0"/>
              </w:rPr>
            </w:r>
          </w:p>
          <w:p w:rsidR="00000000" w:rsidDel="00000000" w:rsidP="00000000" w:rsidRDefault="00000000" w:rsidRPr="00000000" w14:paraId="00000025">
            <w:pPr>
              <w:rPr>
                <w:color w:val="000000"/>
                <w:vertAlign w:val="baseline"/>
              </w:rPr>
            </w:pPr>
            <w:r w:rsidDel="00000000" w:rsidR="00000000" w:rsidRPr="00000000">
              <w:rPr>
                <w:rtl w:val="0"/>
              </w:rPr>
            </w:r>
          </w:p>
          <w:p w:rsidR="00000000" w:rsidDel="00000000" w:rsidP="00000000" w:rsidRDefault="00000000" w:rsidRPr="00000000" w14:paraId="00000026">
            <w:pPr>
              <w:rPr>
                <w:color w:val="000000"/>
                <w:vertAlign w:val="baseline"/>
              </w:rPr>
            </w:pPr>
            <w:r w:rsidDel="00000000" w:rsidR="00000000" w:rsidRPr="00000000">
              <w:rPr>
                <w:rtl w:val="0"/>
              </w:rPr>
            </w:r>
          </w:p>
          <w:p w:rsidR="00000000" w:rsidDel="00000000" w:rsidP="00000000" w:rsidRDefault="00000000" w:rsidRPr="00000000" w14:paraId="00000027">
            <w:pPr>
              <w:rPr>
                <w:b w:val="0"/>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vAlign w:val="top"/>
          </w:tcPr>
          <w:p w:rsidR="00000000" w:rsidDel="00000000" w:rsidP="00000000" w:rsidRDefault="00000000" w:rsidRPr="00000000" w14:paraId="00000029">
            <w:pPr>
              <w:rPr>
                <w:color w:val="000000"/>
                <w:vertAlign w:val="baseline"/>
              </w:rPr>
            </w:pPr>
            <w:r w:rsidDel="00000000" w:rsidR="00000000" w:rsidRPr="00000000">
              <w:rPr>
                <w:color w:val="000000"/>
                <w:vertAlign w:val="baseline"/>
                <w:rtl w:val="0"/>
              </w:rPr>
              <w:t xml:space="preserve">Procedures: </w:t>
            </w:r>
          </w:p>
          <w:p w:rsidR="00000000" w:rsidDel="00000000" w:rsidP="00000000" w:rsidRDefault="00000000" w:rsidRPr="00000000" w14:paraId="0000002A">
            <w:pPr>
              <w:rPr>
                <w:b w:val="1"/>
              </w:rPr>
            </w:pPr>
            <w:r w:rsidDel="00000000" w:rsidR="00000000" w:rsidRPr="00000000">
              <w:rPr>
                <w:b w:val="1"/>
                <w:rtl w:val="0"/>
              </w:rPr>
              <w:t xml:space="preserve">-Students will write a theme statement after teacher modeling</w:t>
              <w:br w:type="textWrapping"/>
              <w:t xml:space="preserve">-Students will collaborate in small groups to compose a theme statement evidence to support their position</w:t>
            </w:r>
          </w:p>
          <w:p w:rsidR="00000000" w:rsidDel="00000000" w:rsidP="00000000" w:rsidRDefault="00000000" w:rsidRPr="00000000" w14:paraId="0000002B">
            <w:pPr>
              <w:rPr>
                <w:b w:val="1"/>
              </w:rPr>
            </w:pPr>
            <w:r w:rsidDel="00000000" w:rsidR="00000000" w:rsidRPr="00000000">
              <w:rPr>
                <w:b w:val="1"/>
                <w:rtl w:val="0"/>
              </w:rPr>
              <w:t xml:space="preserve">-Students will research and compare other media/art with similar themes </w:t>
            </w:r>
          </w:p>
          <w:p w:rsidR="00000000" w:rsidDel="00000000" w:rsidP="00000000" w:rsidRDefault="00000000" w:rsidRPr="00000000" w14:paraId="0000002C">
            <w:pPr>
              <w:rPr>
                <w:b w:val="1"/>
              </w:rPr>
            </w:pPr>
            <w:r w:rsidDel="00000000" w:rsidR="00000000" w:rsidRPr="00000000">
              <w:rPr>
                <w:b w:val="1"/>
                <w:rtl w:val="0"/>
              </w:rPr>
              <w:t xml:space="preserve">-Label the triangle appropriately</w:t>
            </w:r>
          </w:p>
          <w:p w:rsidR="00000000" w:rsidDel="00000000" w:rsidP="00000000" w:rsidRDefault="00000000" w:rsidRPr="00000000" w14:paraId="0000002D">
            <w:pPr>
              <w:rPr>
                <w:b w:val="1"/>
              </w:rPr>
            </w:pPr>
            <w:r w:rsidDel="00000000" w:rsidR="00000000" w:rsidRPr="00000000">
              <w:rPr>
                <w:b w:val="1"/>
                <w:rtl w:val="0"/>
              </w:rPr>
              <w:t xml:space="preserve">-Create connections between each of the medias </w:t>
            </w:r>
          </w:p>
          <w:p w:rsidR="00000000" w:rsidDel="00000000" w:rsidP="00000000" w:rsidRDefault="00000000" w:rsidRPr="00000000" w14:paraId="0000002E">
            <w:pPr>
              <w:rPr>
                <w:color w:val="000000"/>
                <w:vertAlign w:val="baseline"/>
              </w:rPr>
            </w:pPr>
            <w:r w:rsidDel="00000000" w:rsidR="00000000" w:rsidRPr="00000000">
              <w:rPr>
                <w:rtl w:val="0"/>
              </w:rPr>
            </w:r>
          </w:p>
          <w:p w:rsidR="00000000" w:rsidDel="00000000" w:rsidP="00000000" w:rsidRDefault="00000000" w:rsidRPr="00000000" w14:paraId="0000002F">
            <w:pPr>
              <w:rPr>
                <w:color w:val="000000"/>
                <w:vertAlign w:val="baseline"/>
              </w:rPr>
            </w:pPr>
            <w:r w:rsidDel="00000000" w:rsidR="00000000" w:rsidRPr="00000000">
              <w:rPr>
                <w:rtl w:val="0"/>
              </w:rPr>
            </w:r>
          </w:p>
          <w:p w:rsidR="00000000" w:rsidDel="00000000" w:rsidP="00000000" w:rsidRDefault="00000000" w:rsidRPr="00000000" w14:paraId="00000030">
            <w:pPr>
              <w:rPr>
                <w:color w:val="000000"/>
                <w:vertAlign w:val="baseline"/>
              </w:rPr>
            </w:pPr>
            <w:r w:rsidDel="00000000" w:rsidR="00000000" w:rsidRPr="00000000">
              <w:rPr>
                <w:rtl w:val="0"/>
              </w:rPr>
            </w:r>
          </w:p>
        </w:tc>
      </w:tr>
      <w:tr>
        <w:trPr>
          <w:cantSplit w:val="0"/>
          <w:tblHeader w:val="0"/>
        </w:trPr>
        <w:tc>
          <w:tcPr>
            <w:gridSpan w:val="2"/>
            <w:tcBorders>
              <w:bottom w:color="000000" w:space="0" w:sz="4" w:val="single"/>
            </w:tcBorders>
            <w:shd w:fill="99ccff" w:val="clear"/>
            <w:vAlign w:val="top"/>
          </w:tcPr>
          <w:p w:rsidR="00000000" w:rsidDel="00000000" w:rsidP="00000000" w:rsidRDefault="00000000" w:rsidRPr="00000000" w14:paraId="00000032">
            <w:pPr>
              <w:rPr>
                <w:color w:val="000000"/>
                <w:vertAlign w:val="baseline"/>
              </w:rPr>
            </w:pPr>
            <w:r w:rsidDel="00000000" w:rsidR="00000000" w:rsidRPr="00000000">
              <w:rPr>
                <w:b w:val="1"/>
                <w:color w:val="000000"/>
                <w:vertAlign w:val="baseline"/>
                <w:rtl w:val="0"/>
              </w:rPr>
              <w:t xml:space="preserve">Assessment/Evaluation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4">
            <w:pPr>
              <w:rPr>
                <w:b w:val="0"/>
                <w:color w:val="000000"/>
                <w:vertAlign w:val="baseline"/>
              </w:rPr>
            </w:pPr>
            <w:r w:rsidDel="00000000" w:rsidR="00000000" w:rsidRPr="00000000">
              <w:rPr>
                <w:rtl w:val="0"/>
              </w:rPr>
              <w:t xml:space="preserve">Formative/Summative: “Theme Triangle” Presentation; themes, connections, and patterns should be reflective of the social justice elements that are present in our world</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Formative: Students will present their Theme Triangles. Students who are not presenting will take notes on what their peer is presenting to assist with actively engaging in discussions about patterns that may emerge from student to student</w:t>
            </w:r>
          </w:p>
          <w:p w:rsidR="00000000" w:rsidDel="00000000" w:rsidP="00000000" w:rsidRDefault="00000000" w:rsidRPr="00000000" w14:paraId="00000037">
            <w:pPr>
              <w:rPr/>
            </w:pPr>
            <w:r w:rsidDel="00000000" w:rsidR="00000000" w:rsidRPr="00000000">
              <w:rPr>
                <w:rtl w:val="0"/>
              </w:rPr>
              <w:t xml:space="preserve">Summative: Theme Triangle: connecting theme from </w:t>
            </w:r>
            <w:r w:rsidDel="00000000" w:rsidR="00000000" w:rsidRPr="00000000">
              <w:rPr>
                <w:i w:val="1"/>
                <w:rtl w:val="0"/>
              </w:rPr>
              <w:t xml:space="preserve">Dear Martin </w:t>
            </w:r>
            <w:r w:rsidDel="00000000" w:rsidR="00000000" w:rsidRPr="00000000">
              <w:rPr>
                <w:rtl w:val="0"/>
              </w:rPr>
              <w:t xml:space="preserve">(specifically focused on Justyce), movie with a similar theme, and a poem or song that has a written, rhythmic structure</w:t>
            </w:r>
          </w:p>
          <w:p w:rsidR="00000000" w:rsidDel="00000000" w:rsidP="00000000" w:rsidRDefault="00000000" w:rsidRPr="00000000" w14:paraId="00000038">
            <w:pPr>
              <w:rPr>
                <w:b w:val="0"/>
                <w:color w:val="000000"/>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A">
            <w:pPr>
              <w:rPr/>
            </w:pPr>
            <w:r w:rsidDel="00000000" w:rsidR="00000000" w:rsidRPr="00000000">
              <w:rPr>
                <w:color w:val="000000"/>
                <w:vertAlign w:val="baseline"/>
                <w:rtl w:val="0"/>
              </w:rPr>
              <w:t xml:space="preserve">Closure:</w:t>
            </w:r>
            <w:r w:rsidDel="00000000" w:rsidR="00000000" w:rsidRPr="00000000">
              <w:rPr>
                <w:rtl w:val="0"/>
              </w:rPr>
              <w:t xml:space="preserve"> Class conversation on what they have gathered from the novel and the activity, as well as sharing their thoughts and opinions</w:t>
            </w:r>
          </w:p>
          <w:p w:rsidR="00000000" w:rsidDel="00000000" w:rsidP="00000000" w:rsidRDefault="00000000" w:rsidRPr="00000000" w14:paraId="0000003B">
            <w:pPr>
              <w:rPr>
                <w:color w:val="000000"/>
                <w:vertAlign w:val="baseline"/>
              </w:rPr>
            </w:pPr>
            <w:r w:rsidDel="00000000" w:rsidR="00000000" w:rsidRPr="00000000">
              <w:rPr>
                <w:rtl w:val="0"/>
              </w:rPr>
            </w:r>
          </w:p>
          <w:p w:rsidR="00000000" w:rsidDel="00000000" w:rsidP="00000000" w:rsidRDefault="00000000" w:rsidRPr="00000000" w14:paraId="0000003C">
            <w:pPr>
              <w:rPr>
                <w:b w:val="0"/>
                <w:color w:val="000000"/>
                <w:vertAlign w:val="baseline"/>
              </w:rPr>
            </w:pPr>
            <w:r w:rsidDel="00000000" w:rsidR="00000000" w:rsidRPr="00000000">
              <w:rPr>
                <w:rtl w:val="0"/>
              </w:rPr>
            </w:r>
          </w:p>
        </w:tc>
      </w:tr>
    </w:tbl>
    <w:p w:rsidR="00000000" w:rsidDel="00000000" w:rsidP="00000000" w:rsidRDefault="00000000" w:rsidRPr="00000000" w14:paraId="0000003E">
      <w:pPr>
        <w:rPr>
          <w:rFonts w:ascii="Calibri" w:cs="Calibri" w:eastAsia="Calibri" w:hAnsi="Calibri"/>
          <w:color w:val="f3f3f3"/>
          <w:sz w:val="8"/>
          <w:szCs w:val="8"/>
        </w:rPr>
      </w:pPr>
      <w:hyperlink r:id="rId7">
        <w:r w:rsidDel="00000000" w:rsidR="00000000" w:rsidRPr="00000000">
          <w:rPr>
            <w:rFonts w:ascii="Calibri" w:cs="Calibri" w:eastAsia="Calibri" w:hAnsi="Calibri"/>
            <w:color w:val="f3f3f3"/>
            <w:sz w:val="8"/>
            <w:szCs w:val="8"/>
            <w:u w:val="single"/>
            <w:rtl w:val="0"/>
          </w:rPr>
          <w:t xml:space="preserve">weekly lesson plan template</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Teacher’s Name submitting plan: </w:t>
      </w:r>
      <w:r w:rsidDel="00000000" w:rsidR="00000000" w:rsidRPr="00000000">
        <w:rPr>
          <w:rtl w:val="0"/>
        </w:rPr>
        <w:t xml:space="preserve">Kopko, Ignatovsky, Schaechter, Papa. Dennis, Hill, Vitale</w:t>
      </w:r>
    </w:p>
    <w:p w:rsidR="00000000" w:rsidDel="00000000" w:rsidP="00000000" w:rsidRDefault="00000000" w:rsidRPr="00000000" w14:paraId="00000041">
      <w:pPr>
        <w:rPr/>
      </w:pPr>
      <w:r w:rsidDel="00000000" w:rsidR="00000000" w:rsidRPr="00000000">
        <w:rPr>
          <w:b w:val="1"/>
          <w:rtl w:val="0"/>
        </w:rPr>
        <w:t xml:space="preserve">Date submitted: </w:t>
      </w:r>
      <w:r w:rsidDel="00000000" w:rsidR="00000000" w:rsidRPr="00000000">
        <w:rPr>
          <w:rtl w:val="0"/>
        </w:rPr>
        <w:t xml:space="preserve">11/9/2022</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sectPr>
      <w:pgSz w:h="15840" w:w="12240" w:orient="portrait"/>
      <w:pgMar w:bottom="180" w:top="1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omic Sans MS" w:hAnsi="Comic Sans MS"/>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dutechspot.com/lesson-plan-template-google-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UVQ83380hLK2NIaqfQFzYj5SxQ==">AMUW2mUp5DF0fEsBloiercnmdwY0HxCJfXXU7I/80emN99bZY7nQfA+1zWHwwWpefWJWjkACh+hWwjEk79CmQo1jB+0+oLFR8d+KN2p1qEphaiNvS8tt2Kk=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2005-08-16T17:27:00Z</dcterms:created>
  <dc:creator>Rusty Mumford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1214317929</vt:i4>
  </property>
  <property fmtid="{D5CDD505-2E9C-101B-9397-08002B2CF9AE}" pid="3" name="_EmailSubject">
    <vt:lpwstr>Module II oops</vt:lpwstr>
  </property>
  <property fmtid="{D5CDD505-2E9C-101B-9397-08002B2CF9AE}" pid="4" name="_AuthorEmail">
    <vt:lpwstr>VoelkerC@calvertnet.k12.md.us</vt:lpwstr>
  </property>
  <property fmtid="{D5CDD505-2E9C-101B-9397-08002B2CF9AE}" pid="5" name="_AuthorEmailDisplayName">
    <vt:lpwstr>Voelker, Chris</vt:lpwstr>
  </property>
</Properties>
</file>