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Quicksand" w:cs="Quicksand" w:eastAsia="Quicksand" w:hAnsi="Quicksand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LA 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Content Area(s)/Course/Grade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2nd Grade 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Black His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tory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Lesson Topic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MLK &amp; Black History Month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Approx. Date/s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Spring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Diversity Integration Topic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What struggles did MLK experience in the decision-making process when sharing his opinions?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NJSL Standard/s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6.1.2.CivicsPD.1 Engage in discussions effectively by asking questions, considering facts, listening to the ideas of others, and sharing opinions.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6.1.2.CivicsPD.2 Establish a process for how individuals can effectively work together to make decisions.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Textbook, Materials, Resources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MLK BrainPop, MLK texts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Quicksand" w:cs="Quicksand" w:eastAsia="Quicksand" w:hAnsi="Quicksand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140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Students will be able to  identify and explain the struggles MLK experienced.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.2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Making Learning Contextual</w:t>
            </w:r>
          </w:p>
          <w:p w:rsidR="00000000" w:rsidDel="00000000" w:rsidP="00000000" w:rsidRDefault="00000000" w:rsidRPr="00000000" w14:paraId="00000017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Students will study the impact Martin Luther King JR had on our society. Students will have to think about the struggles that MLK experienced when sharing his opinions.</w:t>
            </w:r>
          </w:p>
          <w:p w:rsidR="00000000" w:rsidDel="00000000" w:rsidP="00000000" w:rsidRDefault="00000000" w:rsidRPr="00000000" w14:paraId="0000001A">
            <w:pPr>
              <w:spacing w:after="240" w:lineRule="auto"/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Formative/Summative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Students will be assessed by completing an exit ticket explaining the struggles MLK faced when sharing his opinions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Closure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As a closure to the lesson, students will make a connection to MLK and how they would have felt if they were in his shoes. </w:t>
            </w:r>
          </w:p>
          <w:p w:rsidR="00000000" w:rsidDel="00000000" w:rsidP="00000000" w:rsidRDefault="00000000" w:rsidRPr="00000000" w14:paraId="00000023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Quicksand" w:cs="Quicksand" w:eastAsia="Quicksand" w:hAnsi="Quicksand"/>
          <w:color w:val="f3f3f3"/>
          <w:sz w:val="8"/>
          <w:szCs w:val="8"/>
        </w:rPr>
      </w:pPr>
      <w:hyperlink r:id="rId7">
        <w:r w:rsidDel="00000000" w:rsidR="00000000" w:rsidRPr="00000000">
          <w:rPr>
            <w:rFonts w:ascii="Quicksand" w:cs="Quicksand" w:eastAsia="Quicksand" w:hAnsi="Quicksand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Teacher’s Name submitting plan:</w:t>
      </w:r>
    </w:p>
    <w:p w:rsidR="00000000" w:rsidDel="00000000" w:rsidP="00000000" w:rsidRDefault="00000000" w:rsidRPr="00000000" w14:paraId="0000002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Date submitted:</w:t>
      </w:r>
    </w:p>
    <w:p w:rsidR="00000000" w:rsidDel="00000000" w:rsidP="00000000" w:rsidRDefault="00000000" w:rsidRPr="00000000" w14:paraId="0000002B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techspot.com/lesson-plan-template-google-do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YNHIV35INCd6C7Ksr2IVfhtSwg==">AMUW2mXMUkyLlEb8OSWRej3XXm5MNWRm5rXwQBYQRcTwcfuEv0WHGypHjzxrFe7akRVlr+cLZPd8Nk9OO8+EaedziBmeA9CEWf58V88c/UW9DtKodEParbI=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