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Freak the Mighty,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Rodman Philbrick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Literary Essay (W.1, W.4, W.5, W.6)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Writing Prompt: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In a two paragraph response, please explain how Freak and Max’s friendship has developed through the first eleven chapters of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Freak the Mighty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 Be sure to open your paragraph with a good topic sentence, be sure to use proper capitalization, transition words and be sure to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use at least three different examples and text evidence from the novel that support your ideas.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Writing TIPS: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hink about their first meeting, think about how Maxwell first felt about Kevin, think about how they balance/complete each other, think about their quest to the building, think about their trust, etc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