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720" w:firstLine="0"/>
        <w:jc w:val="center"/>
        <w:rPr>
          <w:b w:val="1"/>
          <w:color w:val="2d3639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2d3639"/>
          <w:sz w:val="24"/>
          <w:szCs w:val="24"/>
          <w:highlight w:val="white"/>
          <w:rtl w:val="0"/>
        </w:rPr>
        <w:t xml:space="preserve">The Boy Who Dared, </w:t>
      </w:r>
      <w:r w:rsidDel="00000000" w:rsidR="00000000" w:rsidRPr="00000000">
        <w:rPr>
          <w:b w:val="1"/>
          <w:color w:val="2d3639"/>
          <w:sz w:val="24"/>
          <w:szCs w:val="24"/>
          <w:highlight w:val="white"/>
          <w:rtl w:val="0"/>
        </w:rPr>
        <w:t xml:space="preserve">Susan Campbell Bartoletti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jc w:val="center"/>
        <w:rPr>
          <w:b w:val="1"/>
          <w:color w:val="2d3639"/>
          <w:sz w:val="24"/>
          <w:szCs w:val="24"/>
          <w:highlight w:val="white"/>
        </w:rPr>
      </w:pPr>
      <w:r w:rsidDel="00000000" w:rsidR="00000000" w:rsidRPr="00000000">
        <w:rPr>
          <w:b w:val="1"/>
          <w:color w:val="2d3639"/>
          <w:sz w:val="24"/>
          <w:szCs w:val="24"/>
          <w:highlight w:val="white"/>
          <w:rtl w:val="0"/>
        </w:rPr>
        <w:t xml:space="preserve">Final</w:t>
      </w:r>
      <w:r w:rsidDel="00000000" w:rsidR="00000000" w:rsidRPr="00000000">
        <w:rPr>
          <w:b w:val="1"/>
          <w:color w:val="2d3639"/>
          <w:sz w:val="24"/>
          <w:szCs w:val="24"/>
          <w:highlight w:val="white"/>
          <w:rtl w:val="0"/>
        </w:rPr>
        <w:t xml:space="preserve"> Vocabulary Test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720" w:firstLine="0"/>
        <w:jc w:val="center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_____to be in a state of agitation or excitement: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Arrogance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Denounce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Seethe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Stoic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_____firmly resolved or determined: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Allegedly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Resolute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Implicate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Deferment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_____the rule or power of wealth or of the wealthy: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Plutocracy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Errant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Traipses 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Remonstrations 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_____unmoved by joy or grief: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Enunciate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Resolute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Stoic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Arrogant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_____to announce or proclaim: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Treason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Enunciate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Errant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Emphatic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_____the betrayal of a trust or confidence: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Errant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Treason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Stoic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Emphatic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_____according to what is or has been alleged: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Allegedly 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Implicate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Denounce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Traipse 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_____to show to be also involved, usually in an incriminating manner: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Remonstration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Implicate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Plutocracy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Arrogance 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_____to say or plead in protest, objection, or disapproval: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Remonstration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Plutocracy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Denounce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Seethe 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_____clearly or boldly outlined: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Enunciating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Denounce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Emphatic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Resolute 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_____to walk or go aimlessly or idly or without finding or reaching one's goal: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Errant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Seethe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Traipse 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Stoic 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_____a temporary exemption from induction into military service: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Deferment 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Implicate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Enunciating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Denounce 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_____offensive display of superiority or self-importance: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Arrogance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Enunciating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Remonstrations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Stoic 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_____to make a formal accusation against, as to the police or in a court: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Errant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Seethe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Denounce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Treason 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left="1440" w:firstLine="0"/>
        <w:rPr>
          <w:color w:val="2d36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 _____deviating from the regular or proper course; erring; straying: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Errant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Stoic</w:t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Arrogance</w:t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color w:val="2d363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639"/>
          <w:sz w:val="24"/>
          <w:szCs w:val="24"/>
          <w:highlight w:val="white"/>
          <w:rtl w:val="0"/>
        </w:rPr>
        <w:t xml:space="preserve">Enunciating 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center"/>
      <w:rPr>
        <w:color w:val="2d3639"/>
        <w:sz w:val="24"/>
        <w:szCs w:val="24"/>
        <w:highlight w:val="white"/>
      </w:rPr>
    </w:pPr>
    <w:r w:rsidDel="00000000" w:rsidR="00000000" w:rsidRPr="00000000">
      <w:rPr>
        <w:rtl w:val="0"/>
      </w:rPr>
      <w:t xml:space="preserve">(NJSLS L7.3 L7.4 L7.5)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line="240" w:lineRule="auto"/>
      <w:ind w:left="720" w:firstLine="0"/>
      <w:jc w:val="center"/>
      <w:rPr/>
    </w:pPr>
    <w:r w:rsidDel="00000000" w:rsidR="00000000" w:rsidRPr="00000000">
      <w:rPr>
        <w:color w:val="2d3639"/>
        <w:sz w:val="24"/>
        <w:szCs w:val="24"/>
        <w:highlight w:val="white"/>
        <w:rtl w:val="0"/>
      </w:rPr>
      <w:t xml:space="preserve">Name___________________________Date_____________Period__________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