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7th Grade </w:t>
      </w:r>
    </w:p>
    <w:p w:rsidR="00000000" w:rsidDel="00000000" w:rsidP="00000000" w:rsidRDefault="00000000" w:rsidRPr="00000000" w14:paraId="00000002">
      <w:pPr>
        <w:pageBreakBefore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Literary Essay</w:t>
      </w:r>
    </w:p>
    <w:p w:rsidR="00000000" w:rsidDel="00000000" w:rsidP="00000000" w:rsidRDefault="00000000" w:rsidRPr="00000000" w14:paraId="00000003">
      <w:pPr>
        <w:pageBreakBefore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Multiple Text Essay </w:t>
      </w:r>
    </w:p>
    <w:p w:rsidR="00000000" w:rsidDel="00000000" w:rsidP="00000000" w:rsidRDefault="00000000" w:rsidRPr="00000000" w14:paraId="00000004">
      <w:pPr>
        <w:pageBreakBefore w:val="0"/>
        <w:jc w:val="center"/>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05">
      <w:pPr>
        <w:pageBreakBefore w:val="0"/>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Directions:  </w:t>
      </w:r>
      <w:r w:rsidDel="00000000" w:rsidR="00000000" w:rsidRPr="00000000">
        <w:rPr>
          <w:rFonts w:ascii="Tahoma" w:cs="Tahoma" w:eastAsia="Tahoma" w:hAnsi="Tahoma"/>
          <w:sz w:val="24"/>
          <w:szCs w:val="24"/>
          <w:rtl w:val="0"/>
        </w:rPr>
        <w:t xml:space="preserve">Compose a complete literary essay, including an opening and a closing, that evaluates the central theme of two or more texts using evidence and direct quotations from the literature, drawing on text evidence to support analysis, reflection, and research using MLA format. </w:t>
      </w:r>
    </w:p>
    <w:p w:rsidR="00000000" w:rsidDel="00000000" w:rsidP="00000000" w:rsidRDefault="00000000" w:rsidRPr="00000000" w14:paraId="00000006">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7">
      <w:pPr>
        <w:pageBreakBefore w:val="0"/>
        <w:jc w:val="cente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Topic:</w:t>
      </w:r>
      <w:r w:rsidDel="00000000" w:rsidR="00000000" w:rsidRPr="00000000">
        <w:rPr>
          <w:rFonts w:ascii="Tahoma" w:cs="Tahoma" w:eastAsia="Tahoma" w:hAnsi="Tahoma"/>
          <w:sz w:val="24"/>
          <w:szCs w:val="24"/>
          <w:rtl w:val="0"/>
        </w:rPr>
        <w:t xml:space="preserve"> Dystopian Fiction </w:t>
      </w:r>
    </w:p>
    <w:p w:rsidR="00000000" w:rsidDel="00000000" w:rsidP="00000000" w:rsidRDefault="00000000" w:rsidRPr="00000000" w14:paraId="00000008">
      <w:pPr>
        <w:pageBreakBefore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9">
      <w:pPr>
        <w:pageBreakBefore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Literary Texts: </w:t>
      </w:r>
    </w:p>
    <w:p w:rsidR="00000000" w:rsidDel="00000000" w:rsidP="00000000" w:rsidRDefault="00000000" w:rsidRPr="00000000" w14:paraId="0000000A">
      <w:pPr>
        <w:pageBreakBefore w:val="0"/>
        <w:jc w:val="center"/>
        <w:rPr>
          <w:rFonts w:ascii="Tahoma" w:cs="Tahoma" w:eastAsia="Tahoma" w:hAnsi="Tahoma"/>
          <w:sz w:val="24"/>
          <w:szCs w:val="24"/>
        </w:rPr>
      </w:pPr>
      <w:r w:rsidDel="00000000" w:rsidR="00000000" w:rsidRPr="00000000">
        <w:rPr>
          <w:rFonts w:ascii="Tahoma" w:cs="Tahoma" w:eastAsia="Tahoma" w:hAnsi="Tahoma"/>
          <w:i w:val="1"/>
          <w:sz w:val="24"/>
          <w:szCs w:val="24"/>
          <w:rtl w:val="0"/>
        </w:rPr>
        <w:t xml:space="preserve">The Giver,</w:t>
      </w:r>
      <w:r w:rsidDel="00000000" w:rsidR="00000000" w:rsidRPr="00000000">
        <w:rPr>
          <w:rFonts w:ascii="Tahoma" w:cs="Tahoma" w:eastAsia="Tahoma" w:hAnsi="Tahoma"/>
          <w:sz w:val="24"/>
          <w:szCs w:val="24"/>
          <w:rtl w:val="0"/>
        </w:rPr>
        <w:t xml:space="preserve"> Lois Lowry</w:t>
      </w:r>
    </w:p>
    <w:p w:rsidR="00000000" w:rsidDel="00000000" w:rsidP="00000000" w:rsidRDefault="00000000" w:rsidRPr="00000000" w14:paraId="0000000B">
      <w:pPr>
        <w:pageBreakBefore w:val="0"/>
        <w:jc w:val="center"/>
        <w:rPr>
          <w:rFonts w:ascii="Tahoma" w:cs="Tahoma" w:eastAsia="Tahoma" w:hAnsi="Tahoma"/>
          <w:sz w:val="24"/>
          <w:szCs w:val="24"/>
          <w:highlight w:val="white"/>
        </w:rPr>
      </w:pPr>
      <w:r w:rsidDel="00000000" w:rsidR="00000000" w:rsidRPr="00000000">
        <w:rPr>
          <w:rFonts w:ascii="Tahoma" w:cs="Tahoma" w:eastAsia="Tahoma" w:hAnsi="Tahoma"/>
          <w:i w:val="1"/>
          <w:sz w:val="24"/>
          <w:szCs w:val="24"/>
          <w:rtl w:val="0"/>
        </w:rPr>
        <w:t xml:space="preserve">*Among the Hidden,</w:t>
      </w:r>
      <w:r w:rsidDel="00000000" w:rsidR="00000000" w:rsidRPr="00000000">
        <w:rPr>
          <w:rFonts w:ascii="Tahoma" w:cs="Tahoma" w:eastAsia="Tahoma" w:hAnsi="Tahoma"/>
          <w:sz w:val="24"/>
          <w:szCs w:val="24"/>
          <w:highlight w:val="white"/>
          <w:rtl w:val="0"/>
        </w:rPr>
        <w:t xml:space="preserve"> Margaret Peterson Haddix</w:t>
      </w:r>
    </w:p>
    <w:p w:rsidR="00000000" w:rsidDel="00000000" w:rsidP="00000000" w:rsidRDefault="00000000" w:rsidRPr="00000000" w14:paraId="0000000C">
      <w:pPr>
        <w:pageBreakBefore w:val="0"/>
        <w:jc w:val="center"/>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w:t>
      </w:r>
      <w:r w:rsidDel="00000000" w:rsidR="00000000" w:rsidRPr="00000000">
        <w:rPr>
          <w:rFonts w:ascii="Tahoma" w:cs="Tahoma" w:eastAsia="Tahoma" w:hAnsi="Tahoma"/>
          <w:i w:val="1"/>
          <w:sz w:val="24"/>
          <w:szCs w:val="24"/>
          <w:highlight w:val="white"/>
          <w:rtl w:val="0"/>
        </w:rPr>
        <w:t xml:space="preserve">Fahrenheit 451</w:t>
      </w:r>
      <w:r w:rsidDel="00000000" w:rsidR="00000000" w:rsidRPr="00000000">
        <w:rPr>
          <w:rFonts w:ascii="Tahoma" w:cs="Tahoma" w:eastAsia="Tahoma" w:hAnsi="Tahoma"/>
          <w:sz w:val="24"/>
          <w:szCs w:val="24"/>
          <w:highlight w:val="white"/>
          <w:rtl w:val="0"/>
        </w:rPr>
        <w:t xml:space="preserve">, Ray Bradbury</w:t>
      </w:r>
      <w:r w:rsidDel="00000000" w:rsidR="00000000" w:rsidRPr="00000000">
        <w:rPr>
          <w:rtl w:val="0"/>
        </w:rPr>
      </w:r>
    </w:p>
    <w:p w:rsidR="00000000" w:rsidDel="00000000" w:rsidP="00000000" w:rsidRDefault="00000000" w:rsidRPr="00000000" w14:paraId="0000000D">
      <w:pPr>
        <w:pageBreakBefore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E">
      <w:pPr>
        <w:pageBreakBefore w:val="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Short Stories:</w:t>
      </w:r>
    </w:p>
    <w:p w:rsidR="00000000" w:rsidDel="00000000" w:rsidP="00000000" w:rsidRDefault="00000000" w:rsidRPr="00000000" w14:paraId="0000000F">
      <w:pPr>
        <w:jc w:val="center"/>
        <w:rPr>
          <w:sz w:val="24"/>
          <w:szCs w:val="24"/>
        </w:rPr>
      </w:pPr>
      <w:r w:rsidDel="00000000" w:rsidR="00000000" w:rsidRPr="00000000">
        <w:rPr>
          <w:i w:val="1"/>
          <w:sz w:val="24"/>
          <w:szCs w:val="24"/>
          <w:rtl w:val="0"/>
        </w:rPr>
        <w:t xml:space="preserve">All Summer In A Day</w:t>
      </w:r>
      <w:r w:rsidDel="00000000" w:rsidR="00000000" w:rsidRPr="00000000">
        <w:rPr>
          <w:sz w:val="24"/>
          <w:szCs w:val="24"/>
          <w:rtl w:val="0"/>
        </w:rPr>
        <w:t xml:space="preserve">, Ray Bradbury</w:t>
      </w:r>
    </w:p>
    <w:p w:rsidR="00000000" w:rsidDel="00000000" w:rsidP="00000000" w:rsidRDefault="00000000" w:rsidRPr="00000000" w14:paraId="00000010">
      <w:pPr>
        <w:jc w:val="center"/>
        <w:rPr>
          <w:sz w:val="24"/>
          <w:szCs w:val="24"/>
        </w:rPr>
      </w:pPr>
      <w:r w:rsidDel="00000000" w:rsidR="00000000" w:rsidRPr="00000000">
        <w:rPr>
          <w:i w:val="1"/>
          <w:sz w:val="24"/>
          <w:szCs w:val="24"/>
          <w:rtl w:val="0"/>
        </w:rPr>
        <w:t xml:space="preserve">The Monsters Are Due On Maple Street</w:t>
      </w:r>
      <w:r w:rsidDel="00000000" w:rsidR="00000000" w:rsidRPr="00000000">
        <w:rPr>
          <w:sz w:val="24"/>
          <w:szCs w:val="24"/>
          <w:rtl w:val="0"/>
        </w:rPr>
        <w:t xml:space="preserve">, Rod Serling</w:t>
      </w:r>
    </w:p>
    <w:p w:rsidR="00000000" w:rsidDel="00000000" w:rsidP="00000000" w:rsidRDefault="00000000" w:rsidRPr="00000000" w14:paraId="00000011">
      <w:pPr>
        <w:jc w:val="center"/>
        <w:rPr>
          <w:sz w:val="24"/>
          <w:szCs w:val="24"/>
        </w:rPr>
      </w:pPr>
      <w:r w:rsidDel="00000000" w:rsidR="00000000" w:rsidRPr="00000000">
        <w:rPr>
          <w:i w:val="1"/>
          <w:sz w:val="24"/>
          <w:szCs w:val="24"/>
          <w:rtl w:val="0"/>
        </w:rPr>
        <w:t xml:space="preserve">The Fun They Had, </w:t>
      </w:r>
      <w:r w:rsidDel="00000000" w:rsidR="00000000" w:rsidRPr="00000000">
        <w:rPr>
          <w:sz w:val="24"/>
          <w:szCs w:val="24"/>
          <w:rtl w:val="0"/>
        </w:rPr>
        <w:t xml:space="preserve">Isaac Asimov</w:t>
      </w:r>
    </w:p>
    <w:p w:rsidR="00000000" w:rsidDel="00000000" w:rsidP="00000000" w:rsidRDefault="00000000" w:rsidRPr="00000000" w14:paraId="00000012">
      <w:pPr>
        <w:jc w:val="center"/>
        <w:rPr>
          <w:sz w:val="24"/>
          <w:szCs w:val="24"/>
        </w:rPr>
      </w:pPr>
      <w:r w:rsidDel="00000000" w:rsidR="00000000" w:rsidRPr="00000000">
        <w:rPr>
          <w:i w:val="1"/>
          <w:sz w:val="24"/>
          <w:szCs w:val="24"/>
          <w:rtl w:val="0"/>
        </w:rPr>
        <w:t xml:space="preserve">Harrison Bergeron</w:t>
      </w:r>
      <w:r w:rsidDel="00000000" w:rsidR="00000000" w:rsidRPr="00000000">
        <w:rPr>
          <w:sz w:val="24"/>
          <w:szCs w:val="24"/>
          <w:rtl w:val="0"/>
        </w:rPr>
        <w:t xml:space="preserve">, Kurt Vonnegut Jr. </w:t>
      </w:r>
    </w:p>
    <w:p w:rsidR="00000000" w:rsidDel="00000000" w:rsidP="00000000" w:rsidRDefault="00000000" w:rsidRPr="00000000" w14:paraId="00000013">
      <w:pPr>
        <w:jc w:val="center"/>
        <w:rPr>
          <w:sz w:val="24"/>
          <w:szCs w:val="24"/>
        </w:rPr>
      </w:pPr>
      <w:r w:rsidDel="00000000" w:rsidR="00000000" w:rsidRPr="00000000">
        <w:rPr>
          <w:i w:val="1"/>
          <w:sz w:val="24"/>
          <w:szCs w:val="24"/>
          <w:rtl w:val="0"/>
        </w:rPr>
        <w:t xml:space="preserve">The Lottery</w:t>
      </w:r>
      <w:r w:rsidDel="00000000" w:rsidR="00000000" w:rsidRPr="00000000">
        <w:rPr>
          <w:sz w:val="24"/>
          <w:szCs w:val="24"/>
          <w:rtl w:val="0"/>
        </w:rPr>
        <w:t xml:space="preserve">, Shirley Jackson</w:t>
      </w:r>
    </w:p>
    <w:p w:rsidR="00000000" w:rsidDel="00000000" w:rsidP="00000000" w:rsidRDefault="00000000" w:rsidRPr="00000000" w14:paraId="00000014">
      <w:pPr>
        <w:jc w:val="center"/>
        <w:rPr>
          <w:sz w:val="24"/>
          <w:szCs w:val="24"/>
        </w:rPr>
      </w:pPr>
      <w:r w:rsidDel="00000000" w:rsidR="00000000" w:rsidRPr="00000000">
        <w:rPr>
          <w:i w:val="1"/>
          <w:sz w:val="24"/>
          <w:szCs w:val="24"/>
          <w:rtl w:val="0"/>
        </w:rPr>
        <w:t xml:space="preserve">The Ones Who Walk Away From Omelas</w:t>
      </w:r>
      <w:r w:rsidDel="00000000" w:rsidR="00000000" w:rsidRPr="00000000">
        <w:rPr>
          <w:sz w:val="24"/>
          <w:szCs w:val="24"/>
          <w:rtl w:val="0"/>
        </w:rPr>
        <w:t xml:space="preserve">, Ursula LeGuinn</w:t>
      </w:r>
    </w:p>
    <w:p w:rsidR="00000000" w:rsidDel="00000000" w:rsidP="00000000" w:rsidRDefault="00000000" w:rsidRPr="00000000" w14:paraId="00000015">
      <w:pPr>
        <w:jc w:val="center"/>
        <w:rPr>
          <w:sz w:val="24"/>
          <w:szCs w:val="24"/>
        </w:rPr>
      </w:pPr>
      <w:r w:rsidDel="00000000" w:rsidR="00000000" w:rsidRPr="00000000">
        <w:rPr>
          <w:i w:val="1"/>
          <w:sz w:val="24"/>
          <w:szCs w:val="24"/>
          <w:rtl w:val="0"/>
        </w:rPr>
        <w:t xml:space="preserve">The Machine Stops</w:t>
      </w:r>
      <w:r w:rsidDel="00000000" w:rsidR="00000000" w:rsidRPr="00000000">
        <w:rPr>
          <w:sz w:val="24"/>
          <w:szCs w:val="24"/>
          <w:rtl w:val="0"/>
        </w:rPr>
        <w:t xml:space="preserve">, E.M. Forster</w:t>
      </w:r>
    </w:p>
    <w:p w:rsidR="00000000" w:rsidDel="00000000" w:rsidP="00000000" w:rsidRDefault="00000000" w:rsidRPr="00000000" w14:paraId="00000016">
      <w:pPr>
        <w:jc w:val="center"/>
        <w:rPr>
          <w:sz w:val="24"/>
          <w:szCs w:val="24"/>
        </w:rPr>
      </w:pPr>
      <w:r w:rsidDel="00000000" w:rsidR="00000000" w:rsidRPr="00000000">
        <w:rPr>
          <w:i w:val="1"/>
          <w:sz w:val="24"/>
          <w:szCs w:val="24"/>
          <w:rtl w:val="0"/>
        </w:rPr>
        <w:t xml:space="preserve">There Will Come Soft Rains</w:t>
      </w:r>
      <w:r w:rsidDel="00000000" w:rsidR="00000000" w:rsidRPr="00000000">
        <w:rPr>
          <w:sz w:val="24"/>
          <w:szCs w:val="24"/>
          <w:rtl w:val="0"/>
        </w:rPr>
        <w:t xml:space="preserve">, Ray Bradbury</w:t>
      </w:r>
    </w:p>
    <w:p w:rsidR="00000000" w:rsidDel="00000000" w:rsidP="00000000" w:rsidRDefault="00000000" w:rsidRPr="00000000" w14:paraId="00000017">
      <w:pPr>
        <w:jc w:val="center"/>
        <w:rPr>
          <w:sz w:val="24"/>
          <w:szCs w:val="24"/>
        </w:rPr>
      </w:pPr>
      <w:r w:rsidDel="00000000" w:rsidR="00000000" w:rsidRPr="00000000">
        <w:rPr>
          <w:rtl w:val="0"/>
        </w:rPr>
      </w:r>
    </w:p>
    <w:p w:rsidR="00000000" w:rsidDel="00000000" w:rsidP="00000000" w:rsidRDefault="00000000" w:rsidRPr="00000000" w14:paraId="00000018">
      <w:pPr>
        <w:pageBreakBefore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9">
      <w:pPr>
        <w:pageBreakBefore w:val="0"/>
        <w:jc w:val="cente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sectPr>
      <w:headerReference r:id="rId6" w:type="default"/>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jc w:val="center"/>
      <w:rPr/>
    </w:pPr>
    <w:r w:rsidDel="00000000" w:rsidR="00000000" w:rsidRPr="00000000">
      <w:rPr>
        <w:rFonts w:ascii="Book Antiqua" w:cs="Book Antiqua" w:eastAsia="Book Antiqua" w:hAnsi="Book Antiqua"/>
        <w:rtl w:val="0"/>
      </w:rPr>
      <w:t xml:space="preserve">NJSLS: W7.2, W7.4, W7.5, W7.6, W7.9, RL7.1, RL. 7.2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