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6th Grade Explanatory Essay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MP 2/3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Book Antiqua" w:cs="Book Antiqua" w:eastAsia="Book Antiqua" w:hAnsi="Book Antiqua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Objective:</w:t>
      </w:r>
      <w:r w:rsidDel="00000000" w:rsidR="00000000" w:rsidRPr="00000000">
        <w:rPr>
          <w:rFonts w:ascii="Book Antiqua" w:cs="Book Antiqua" w:eastAsia="Book Antiqua" w:hAnsi="Book Antiqua"/>
          <w:sz w:val="26"/>
          <w:szCs w:val="26"/>
          <w:rtl w:val="0"/>
        </w:rPr>
        <w:t xml:space="preserve">  With their learning group, students will utilize a variety of digital and print non fiction text resources while properly citing sources using MLA format to research and explain a significant aspect of the historical movements and events in the 1930s, specifically; race relations, arts and entertainment, the stock market crash, the dust bowl and sports and publish their findings in an effective slideshow presentation that include authentic photographs.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jc w:val="center"/>
      <w:rPr>
        <w:rFonts w:ascii="Book Antiqua" w:cs="Book Antiqua" w:eastAsia="Book Antiqua" w:hAnsi="Book Antiqua"/>
      </w:rPr>
    </w:pPr>
    <w:r w:rsidDel="00000000" w:rsidR="00000000" w:rsidRPr="00000000">
      <w:rPr>
        <w:rFonts w:ascii="Book Antiqua" w:cs="Book Antiqua" w:eastAsia="Book Antiqua" w:hAnsi="Book Antiqua"/>
        <w:rtl w:val="0"/>
      </w:rPr>
      <w:t xml:space="preserve">NJSLS:  RI 6.2 W6.2 abcdef W6.4 6.5 6.6 W6.7 6.8 6.9 SL 6.4 L1 L2  6.1 abcde 6.2 ab 6.3 ab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