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8"/>
        <w:gridCol w:w="5508"/>
        <w:tblGridChange w:id="0">
          <w:tblGrid>
            <w:gridCol w:w="5508"/>
            <w:gridCol w:w="5508"/>
          </w:tblGrid>
        </w:tblGridChange>
      </w:tblGrid>
      <w:tr>
        <w:trPr>
          <w:cantSplit w:val="0"/>
          <w:tblHeader w:val="0"/>
        </w:trPr>
        <w:tc>
          <w:tcPr>
            <w:gridSpan w:val="2"/>
            <w:shd w:fill="99ccff" w:val="clear"/>
            <w:vAlign w:val="top"/>
          </w:tcPr>
          <w:p w:rsidR="00000000" w:rsidDel="00000000" w:rsidP="00000000" w:rsidRDefault="00000000" w:rsidRPr="00000000" w14:paraId="00000002">
            <w:pPr>
              <w:jc w:val="center"/>
              <w:rPr>
                <w:b w:val="0"/>
                <w:sz w:val="40"/>
                <w:szCs w:val="40"/>
                <w:vertAlign w:val="baseline"/>
              </w:rPr>
            </w:pPr>
            <w:r w:rsidDel="00000000" w:rsidR="00000000" w:rsidRPr="00000000">
              <w:rPr>
                <w:b w:val="1"/>
                <w:sz w:val="40"/>
                <w:szCs w:val="40"/>
                <w:vertAlign w:val="baseline"/>
                <w:rtl w:val="0"/>
              </w:rPr>
              <w:t xml:space="preserve">Instructional Lesson Plan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4">
            <w:pPr>
              <w:rPr>
                <w:color w:val="000000"/>
                <w:vertAlign w:val="baseline"/>
              </w:rPr>
            </w:pPr>
            <w:r w:rsidDel="00000000" w:rsidR="00000000" w:rsidRPr="00000000">
              <w:rPr>
                <w:color w:val="000000"/>
                <w:vertAlign w:val="baseline"/>
                <w:rtl w:val="0"/>
              </w:rPr>
              <w:t xml:space="preserve">Content Area(s)/Course/Grade: </w:t>
            </w:r>
            <w:r w:rsidDel="00000000" w:rsidR="00000000" w:rsidRPr="00000000">
              <w:rPr>
                <w:rtl w:val="0"/>
              </w:rPr>
              <w:t xml:space="preserve">4th Grade Social Studies</w:t>
            </w: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p>
        </w:tc>
        <w:tc>
          <w:tcPr>
            <w:vAlign w:val="top"/>
          </w:tcPr>
          <w:p w:rsidR="00000000" w:rsidDel="00000000" w:rsidP="00000000" w:rsidRDefault="00000000" w:rsidRPr="00000000" w14:paraId="00000006">
            <w:pPr>
              <w:rPr>
                <w:vertAlign w:val="baseline"/>
              </w:rPr>
            </w:pPr>
            <w:r w:rsidDel="00000000" w:rsidR="00000000" w:rsidRPr="00000000">
              <w:rPr>
                <w:color w:val="000000"/>
                <w:vertAlign w:val="baseline"/>
                <w:rtl w:val="0"/>
              </w:rPr>
              <w:t xml:space="preserve">Unit: Civil War and Slavery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7">
            <w:pPr>
              <w:rPr>
                <w:color w:val="000000"/>
                <w:vertAlign w:val="baseline"/>
              </w:rPr>
            </w:pPr>
            <w:r w:rsidDel="00000000" w:rsidR="00000000" w:rsidRPr="00000000">
              <w:rPr>
                <w:color w:val="000000"/>
                <w:vertAlign w:val="baseline"/>
                <w:rtl w:val="0"/>
              </w:rPr>
              <w:t xml:space="preserve">Lesson Topic: Civil War and Slavery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color w:val="000000"/>
                <w:vertAlign w:val="baseline"/>
              </w:rPr>
            </w:pPr>
            <w:r w:rsidDel="00000000" w:rsidR="00000000" w:rsidRPr="00000000">
              <w:rPr>
                <w:rtl w:val="0"/>
              </w:rPr>
            </w:r>
          </w:p>
        </w:tc>
        <w:tc>
          <w:tcPr>
            <w:vAlign w:val="top"/>
          </w:tcPr>
          <w:p w:rsidR="00000000" w:rsidDel="00000000" w:rsidP="00000000" w:rsidRDefault="00000000" w:rsidRPr="00000000" w14:paraId="0000000A">
            <w:pPr>
              <w:rPr>
                <w:color w:val="000000"/>
                <w:vertAlign w:val="baseline"/>
              </w:rPr>
            </w:pPr>
            <w:r w:rsidDel="00000000" w:rsidR="00000000" w:rsidRPr="00000000">
              <w:rPr>
                <w:rtl w:val="0"/>
              </w:rPr>
              <w:t xml:space="preserve">Approx. Date/s</w:t>
            </w:r>
            <w:r w:rsidDel="00000000" w:rsidR="00000000" w:rsidRPr="00000000">
              <w:rPr>
                <w:color w:val="000000"/>
                <w:vertAlign w:val="baseline"/>
                <w:rtl w:val="0"/>
              </w:rPr>
              <w:t xml:space="preserve">: February </w:t>
            </w:r>
          </w:p>
        </w:tc>
      </w:tr>
      <w:tr>
        <w:trPr>
          <w:cantSplit w:val="0"/>
          <w:tblHeader w:val="0"/>
        </w:trPr>
        <w:tc>
          <w:tcPr>
            <w:vAlign w:val="top"/>
          </w:tcPr>
          <w:p w:rsidR="00000000" w:rsidDel="00000000" w:rsidP="00000000" w:rsidRDefault="00000000" w:rsidRPr="00000000" w14:paraId="0000000B">
            <w:pPr>
              <w:rPr/>
            </w:pPr>
            <w:r w:rsidDel="00000000" w:rsidR="00000000" w:rsidRPr="00000000">
              <w:rPr>
                <w:rtl w:val="0"/>
              </w:rPr>
              <w:t xml:space="preserve">Diversity Integration Topic: Black History Month</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tc>
        <w:tc>
          <w:tcPr>
            <w:vAlign w:val="top"/>
          </w:tcPr>
          <w:p w:rsidR="00000000" w:rsidDel="00000000" w:rsidP="00000000" w:rsidRDefault="00000000" w:rsidRPr="00000000" w14:paraId="0000000E">
            <w:pPr>
              <w:rPr/>
            </w:pPr>
            <w:r w:rsidDel="00000000" w:rsidR="00000000" w:rsidRPr="00000000">
              <w:rPr>
                <w:rtl w:val="0"/>
              </w:rPr>
              <w:t xml:space="preserve">NJSL Standard/s:</w:t>
            </w:r>
          </w:p>
          <w:p w:rsidR="00000000" w:rsidDel="00000000" w:rsidP="00000000" w:rsidRDefault="00000000" w:rsidRPr="00000000" w14:paraId="0000000F">
            <w:pPr>
              <w:rPr/>
            </w:pPr>
            <w:r w:rsidDel="00000000" w:rsidR="00000000" w:rsidRPr="00000000">
              <w:rPr>
                <w:rtl w:val="0"/>
              </w:rPr>
              <w:t xml:space="preserve">6.1.5.CivicsDP.1, 6.1.5.CivicsDP.2, 6.1.5.HistoryCC.7 </w:t>
            </w:r>
          </w:p>
        </w:tc>
      </w:tr>
      <w:tr>
        <w:trPr>
          <w:cantSplit w:val="0"/>
          <w:trHeight w:val="983.90625" w:hRule="atLeast"/>
          <w:tblHeader w:val="0"/>
        </w:trPr>
        <w:tc>
          <w:tcPr>
            <w:gridSpan w:val="2"/>
            <w:vAlign w:val="top"/>
          </w:tcPr>
          <w:p w:rsidR="00000000" w:rsidDel="00000000" w:rsidP="00000000" w:rsidRDefault="00000000" w:rsidRPr="00000000" w14:paraId="00000010">
            <w:pPr>
              <w:rPr/>
            </w:pPr>
            <w:r w:rsidDel="00000000" w:rsidR="00000000" w:rsidRPr="00000000">
              <w:rPr>
                <w:rtl w:val="0"/>
              </w:rPr>
              <w:t xml:space="preserve">Textbook, Materials, Resources: </w:t>
            </w:r>
          </w:p>
          <w:p w:rsidR="00000000" w:rsidDel="00000000" w:rsidP="00000000" w:rsidRDefault="00000000" w:rsidRPr="00000000" w14:paraId="00000011">
            <w:pPr>
              <w:spacing w:after="160" w:line="259" w:lineRule="auto"/>
              <w:rPr>
                <w:color w:val="000000"/>
                <w:vertAlign w:val="baseline"/>
              </w:rPr>
            </w:pPr>
            <w:r w:rsidDel="00000000" w:rsidR="00000000" w:rsidRPr="00000000">
              <w:rPr>
                <w:rFonts w:ascii="Century Gothic" w:cs="Century Gothic" w:eastAsia="Century Gothic" w:hAnsi="Century Gothic"/>
                <w:b w:val="1"/>
                <w:rtl w:val="0"/>
              </w:rPr>
              <w:t xml:space="preserve"> </w:t>
            </w:r>
            <w:r w:rsidDel="00000000" w:rsidR="00000000" w:rsidRPr="00000000">
              <w:rPr>
                <w:rFonts w:ascii="Century Gothic" w:cs="Century Gothic" w:eastAsia="Century Gothic" w:hAnsi="Century Gothic"/>
                <w:rtl w:val="0"/>
              </w:rPr>
              <w:t xml:space="preserve">Picture book: </w:t>
            </w:r>
            <w:r w:rsidDel="00000000" w:rsidR="00000000" w:rsidRPr="00000000">
              <w:rPr>
                <w:rFonts w:ascii="Century Gothic" w:cs="Century Gothic" w:eastAsia="Century Gothic" w:hAnsi="Century Gothic"/>
                <w:i w:val="1"/>
                <w:rtl w:val="0"/>
              </w:rPr>
              <w:t xml:space="preserve">Sweet Clara and the Freedom Quilt </w:t>
            </w:r>
            <w:r w:rsidDel="00000000" w:rsidR="00000000" w:rsidRPr="00000000">
              <w:rPr>
                <w:rFonts w:ascii="Century Gothic" w:cs="Century Gothic" w:eastAsia="Century Gothic" w:hAnsi="Century Gothic"/>
                <w:rtl w:val="0"/>
              </w:rPr>
              <w:t xml:space="preserve">by Deborah Hopkinson, SMART TV, Brainpop Slavery and Underground Railroad video clips, Flocabulary Harriet Tubman song, SMART TV, SS textbook Chapter 4</w:t>
            </w:r>
            <w:r w:rsidDel="00000000" w:rsidR="00000000" w:rsidRPr="00000000">
              <w:rPr>
                <w:rtl w:val="0"/>
              </w:rPr>
            </w:r>
          </w:p>
        </w:tc>
      </w:tr>
      <w:tr>
        <w:trPr>
          <w:cantSplit w:val="0"/>
          <w:tblHeader w:val="0"/>
        </w:trPr>
        <w:tc>
          <w:tcPr>
            <w:gridSpan w:val="2"/>
            <w:shd w:fill="99ccff" w:val="clear"/>
            <w:vAlign w:val="top"/>
          </w:tcPr>
          <w:p w:rsidR="00000000" w:rsidDel="00000000" w:rsidP="00000000" w:rsidRDefault="00000000" w:rsidRPr="00000000" w14:paraId="00000013">
            <w:pPr>
              <w:rPr>
                <w:b w:val="1"/>
                <w:color w:val="000000"/>
                <w:vertAlign w:val="baseline"/>
              </w:rPr>
            </w:pPr>
            <w:r w:rsidDel="00000000" w:rsidR="00000000" w:rsidRPr="00000000">
              <w:rPr>
                <w:b w:val="1"/>
                <w:rtl w:val="0"/>
              </w:rPr>
              <w:t xml:space="preserve">Lesson Objective:</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15">
            <w:pPr>
              <w:spacing w:after="160" w:line="259" w:lineRule="auto"/>
              <w:rPr>
                <w:b w:val="0"/>
                <w:color w:val="000000"/>
                <w:vertAlign w:val="baseline"/>
              </w:rPr>
            </w:pPr>
            <w:r w:rsidDel="00000000" w:rsidR="00000000" w:rsidRPr="00000000">
              <w:rPr>
                <w:rFonts w:ascii="Century Gothic" w:cs="Century Gothic" w:eastAsia="Century Gothic" w:hAnsi="Century Gothic"/>
                <w:rtl w:val="0"/>
              </w:rPr>
              <w:t xml:space="preserve">Students will be able to examine the </w:t>
            </w:r>
            <w:r w:rsidDel="00000000" w:rsidR="00000000" w:rsidRPr="00000000">
              <w:rPr>
                <w:rFonts w:ascii="Century Gothic" w:cs="Century Gothic" w:eastAsia="Century Gothic" w:hAnsi="Century Gothic"/>
                <w:shd w:fill="fff2cc" w:val="clear"/>
                <w:rtl w:val="0"/>
              </w:rPr>
              <w:t xml:space="preserve">African Slave Trade and slavery in America, including New Jersey</w:t>
            </w:r>
            <w:r w:rsidDel="00000000" w:rsidR="00000000" w:rsidRPr="00000000">
              <w:rPr>
                <w:rFonts w:ascii="Century Gothic" w:cs="Century Gothic" w:eastAsia="Century Gothic" w:hAnsi="Century Gothic"/>
                <w:rtl w:val="0"/>
              </w:rPr>
              <w:t xml:space="preserve">. Identify how individuals and groups responded to the violation of fundamental rights (Underground Railroad). </w:t>
            </w:r>
            <w:r w:rsidDel="00000000" w:rsidR="00000000" w:rsidRPr="00000000">
              <w:rPr>
                <w:rtl w:val="0"/>
              </w:rPr>
            </w:r>
          </w:p>
        </w:tc>
      </w:tr>
      <w:tr>
        <w:trPr>
          <w:cantSplit w:val="0"/>
          <w:tblHeader w:val="0"/>
        </w:trPr>
        <w:tc>
          <w:tcPr>
            <w:gridSpan w:val="2"/>
            <w:shd w:fill="99ccff" w:val="clear"/>
            <w:vAlign w:val="top"/>
          </w:tcPr>
          <w:p w:rsidR="00000000" w:rsidDel="00000000" w:rsidP="00000000" w:rsidRDefault="00000000" w:rsidRPr="00000000" w14:paraId="00000017">
            <w:pPr>
              <w:rPr>
                <w:b w:val="0"/>
                <w:color w:val="000000"/>
                <w:vertAlign w:val="baseline"/>
              </w:rPr>
            </w:pPr>
            <w:r w:rsidDel="00000000" w:rsidR="00000000" w:rsidRPr="00000000">
              <w:rPr>
                <w:b w:val="1"/>
                <w:color w:val="000000"/>
                <w:vertAlign w:val="baseline"/>
                <w:rtl w:val="0"/>
              </w:rPr>
              <w:t xml:space="preserve">Instructional Delivery</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19">
            <w:pPr>
              <w:rPr>
                <w:color w:val="000000"/>
                <w:vertAlign w:val="baseline"/>
              </w:rPr>
            </w:pPr>
            <w:r w:rsidDel="00000000" w:rsidR="00000000" w:rsidRPr="00000000">
              <w:rPr>
                <w:rtl w:val="0"/>
              </w:rPr>
              <w:t xml:space="preserve">Culturally Responsive Teaching strategy</w:t>
            </w:r>
            <w:r w:rsidDel="00000000" w:rsidR="00000000" w:rsidRPr="00000000">
              <w:rPr>
                <w:color w:val="000000"/>
                <w:vertAlign w:val="baseline"/>
                <w:rtl w:val="0"/>
              </w:rPr>
              <w:t xml:space="preserve">:</w:t>
            </w:r>
          </w:p>
          <w:p w:rsidR="00000000" w:rsidDel="00000000" w:rsidP="00000000" w:rsidRDefault="00000000" w:rsidRPr="00000000" w14:paraId="0000001A">
            <w:pPr>
              <w:rPr>
                <w:color w:val="000000"/>
                <w:vertAlign w:val="baseline"/>
              </w:rPr>
            </w:pPr>
            <w:r w:rsidDel="00000000" w:rsidR="00000000" w:rsidRPr="00000000">
              <w:rPr>
                <w:rtl w:val="0"/>
              </w:rPr>
              <w:t xml:space="preserve">Class Discussion, Review, Actively process information, Visual aides such as maps, technology integration including Brainpop as well as Flocabulary. Interactive Read aloud to include “Sweet Clara”</w:t>
            </w:r>
            <w:r w:rsidDel="00000000" w:rsidR="00000000" w:rsidRPr="00000000">
              <w:rPr>
                <w:rtl w:val="0"/>
              </w:rPr>
            </w:r>
          </w:p>
          <w:p w:rsidR="00000000" w:rsidDel="00000000" w:rsidP="00000000" w:rsidRDefault="00000000" w:rsidRPr="00000000" w14:paraId="0000001B">
            <w:pPr>
              <w:rPr>
                <w:color w:val="000000"/>
                <w:vertAlign w:val="baseline"/>
              </w:rPr>
            </w:pPr>
            <w:r w:rsidDel="00000000" w:rsidR="00000000" w:rsidRPr="00000000">
              <w:rPr>
                <w:rtl w:val="0"/>
              </w:rPr>
            </w:r>
          </w:p>
          <w:p w:rsidR="00000000" w:rsidDel="00000000" w:rsidP="00000000" w:rsidRDefault="00000000" w:rsidRPr="00000000" w14:paraId="0000001C">
            <w:pPr>
              <w:rPr>
                <w:color w:val="000000"/>
                <w:vertAlign w:val="baseline"/>
              </w:rPr>
            </w:pPr>
            <w:r w:rsidDel="00000000" w:rsidR="00000000" w:rsidRPr="00000000">
              <w:rPr>
                <w:rtl w:val="0"/>
              </w:rPr>
            </w:r>
          </w:p>
          <w:p w:rsidR="00000000" w:rsidDel="00000000" w:rsidP="00000000" w:rsidRDefault="00000000" w:rsidRPr="00000000" w14:paraId="0000001D">
            <w:pPr>
              <w:rPr>
                <w:b w:val="0"/>
                <w:color w:val="000000"/>
                <w:vertAlign w:val="baseline"/>
              </w:rPr>
            </w:pP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1F">
            <w:pPr>
              <w:rPr>
                <w:color w:val="000000"/>
                <w:vertAlign w:val="baseline"/>
              </w:rPr>
            </w:pPr>
            <w:r w:rsidDel="00000000" w:rsidR="00000000" w:rsidRPr="00000000">
              <w:rPr>
                <w:color w:val="000000"/>
                <w:vertAlign w:val="baseline"/>
                <w:rtl w:val="0"/>
              </w:rPr>
              <w:t xml:space="preserve">Procedures:</w:t>
            </w:r>
          </w:p>
          <w:p w:rsidR="00000000" w:rsidDel="00000000" w:rsidP="00000000" w:rsidRDefault="00000000" w:rsidRPr="00000000" w14:paraId="00000020">
            <w:pPr>
              <w:numPr>
                <w:ilvl w:val="0"/>
                <w:numId w:val="1"/>
              </w:numPr>
              <w:spacing w:after="0" w:afterAutospacing="0" w:line="259"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Discuss the history of NJ as a slave state and the steps taken to gradually end it. Focus on the work of abolitionist groups and individuals. Read SS text Chapter 4, Lesson 1. </w:t>
            </w:r>
          </w:p>
          <w:p w:rsidR="00000000" w:rsidDel="00000000" w:rsidP="00000000" w:rsidRDefault="00000000" w:rsidRPr="00000000" w14:paraId="00000021">
            <w:pPr>
              <w:numPr>
                <w:ilvl w:val="0"/>
                <w:numId w:val="1"/>
              </w:numPr>
              <w:spacing w:after="0" w:afterAutospacing="0" w:line="259"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Color a map to identify northern free states, southern slave states and border states. Highlight NJś close location to border states. Read SS text Chapter 4, Lesson 2.</w:t>
            </w:r>
          </w:p>
          <w:p w:rsidR="00000000" w:rsidDel="00000000" w:rsidP="00000000" w:rsidRDefault="00000000" w:rsidRPr="00000000" w14:paraId="00000022">
            <w:pPr>
              <w:numPr>
                <w:ilvl w:val="0"/>
                <w:numId w:val="1"/>
              </w:numPr>
              <w:spacing w:after="0" w:afterAutospacing="0" w:line="259"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View and discuss the Harriet Tubman Flocabulary and Brainpop clips. Identify the meanings of terms used on the Underground Railroad (passengers, conductor, station, station master). </w:t>
            </w:r>
            <w:r w:rsidDel="00000000" w:rsidR="00000000" w:rsidRPr="00000000">
              <w:rPr>
                <w:rtl w:val="0"/>
              </w:rPr>
            </w:r>
          </w:p>
          <w:p w:rsidR="00000000" w:rsidDel="00000000" w:rsidP="00000000" w:rsidRDefault="00000000" w:rsidRPr="00000000" w14:paraId="00000023">
            <w:pPr>
              <w:numPr>
                <w:ilvl w:val="0"/>
                <w:numId w:val="1"/>
              </w:numPr>
              <w:spacing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w:t>
            </w:r>
            <w:r w:rsidDel="00000000" w:rsidR="00000000" w:rsidRPr="00000000">
              <w:rPr>
                <w:rFonts w:ascii="Century Gothic" w:cs="Century Gothic" w:eastAsia="Century Gothic" w:hAnsi="Century Gothic"/>
                <w:i w:val="1"/>
                <w:rtl w:val="0"/>
              </w:rPr>
              <w:t xml:space="preserve">Sweet Clara and the Freedom Quilt</w:t>
            </w:r>
            <w:r w:rsidDel="00000000" w:rsidR="00000000" w:rsidRPr="00000000">
              <w:rPr>
                <w:rFonts w:ascii="Century Gothic" w:cs="Century Gothic" w:eastAsia="Century Gothic" w:hAnsi="Century Gothic"/>
                <w:rtl w:val="0"/>
              </w:rPr>
              <w:t xml:space="preserve">. Following the read aloud, encourage students to summarize, discuss, and share reactions to the book. “What information that we have learned about regarding slavery and the Underground Railroad were present in the book?”</w:t>
            </w:r>
          </w:p>
          <w:p w:rsidR="00000000" w:rsidDel="00000000" w:rsidP="00000000" w:rsidRDefault="00000000" w:rsidRPr="00000000" w14:paraId="00000024">
            <w:pPr>
              <w:numPr>
                <w:ilvl w:val="0"/>
                <w:numId w:val="1"/>
              </w:numPr>
              <w:spacing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Students should then complete the story analysis worksheet (independently or in small groups).</w:t>
            </w:r>
          </w:p>
          <w:p w:rsidR="00000000" w:rsidDel="00000000" w:rsidP="00000000" w:rsidRDefault="00000000" w:rsidRPr="00000000" w14:paraId="00000025">
            <w:pPr>
              <w:numPr>
                <w:ilvl w:val="0"/>
                <w:numId w:val="1"/>
              </w:numPr>
              <w:spacing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Share answers to questions</w:t>
            </w:r>
          </w:p>
          <w:p w:rsidR="00000000" w:rsidDel="00000000" w:rsidP="00000000" w:rsidRDefault="00000000" w:rsidRPr="00000000" w14:paraId="00000026">
            <w:pPr>
              <w:numPr>
                <w:ilvl w:val="0"/>
                <w:numId w:val="1"/>
              </w:numPr>
              <w:spacing w:line="276" w:lineRule="auto"/>
              <w:ind w:left="720" w:hanging="360"/>
              <w:rPr>
                <w:rFonts w:ascii="Century Gothic" w:cs="Century Gothic" w:eastAsia="Century Gothic" w:hAnsi="Century Gothic"/>
                <w:i w:val="1"/>
              </w:rPr>
            </w:pPr>
            <w:r w:rsidDel="00000000" w:rsidR="00000000" w:rsidRPr="00000000">
              <w:rPr>
                <w:rFonts w:ascii="Century Gothic" w:cs="Century Gothic" w:eastAsia="Century Gothic" w:hAnsi="Century Gothic"/>
                <w:i w:val="1"/>
                <w:rtl w:val="0"/>
              </w:rPr>
              <w:t xml:space="preserve">Highly Capable students will be participating in a curriculum compacting project to develop and present a problem and solution based play based on their learning of this topic.</w:t>
            </w:r>
            <w:r w:rsidDel="00000000" w:rsidR="00000000" w:rsidRPr="00000000">
              <w:rPr>
                <w:rtl w:val="0"/>
              </w:rPr>
            </w:r>
          </w:p>
        </w:tc>
      </w:tr>
      <w:tr>
        <w:trPr>
          <w:cantSplit w:val="0"/>
          <w:tblHeader w:val="0"/>
        </w:trPr>
        <w:tc>
          <w:tcPr>
            <w:gridSpan w:val="2"/>
            <w:tcBorders>
              <w:bottom w:color="000000" w:space="0" w:sz="4" w:val="single"/>
            </w:tcBorders>
            <w:shd w:fill="99ccff" w:val="clear"/>
            <w:vAlign w:val="top"/>
          </w:tcPr>
          <w:p w:rsidR="00000000" w:rsidDel="00000000" w:rsidP="00000000" w:rsidRDefault="00000000" w:rsidRPr="00000000" w14:paraId="00000028">
            <w:pPr>
              <w:rPr>
                <w:color w:val="000000"/>
                <w:vertAlign w:val="baseline"/>
              </w:rPr>
            </w:pPr>
            <w:r w:rsidDel="00000000" w:rsidR="00000000" w:rsidRPr="00000000">
              <w:rPr>
                <w:b w:val="1"/>
                <w:color w:val="000000"/>
                <w:vertAlign w:val="baseline"/>
                <w:rtl w:val="0"/>
              </w:rPr>
              <w:t xml:space="preserve">Assessment/Evaluation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2A">
            <w:pPr>
              <w:rPr>
                <w:b w:val="0"/>
                <w:color w:val="000000"/>
                <w:vertAlign w:val="baseline"/>
              </w:rPr>
            </w:pPr>
            <w:r w:rsidDel="00000000" w:rsidR="00000000" w:rsidRPr="00000000">
              <w:rPr>
                <w:rtl w:val="0"/>
              </w:rPr>
              <w:t xml:space="preserve">Formative/Summative:</w:t>
            </w:r>
            <w:r w:rsidDel="00000000" w:rsidR="00000000" w:rsidRPr="00000000">
              <w:rPr>
                <w:rtl w:val="0"/>
              </w:rPr>
            </w:r>
          </w:p>
          <w:p w:rsidR="00000000" w:rsidDel="00000000" w:rsidP="00000000" w:rsidRDefault="00000000" w:rsidRPr="00000000" w14:paraId="0000002B">
            <w:pPr>
              <w:rPr>
                <w:b w:val="0"/>
                <w:color w:val="000000"/>
                <w:vertAlign w:val="baseline"/>
              </w:rPr>
            </w:pPr>
            <w:r w:rsidDel="00000000" w:rsidR="00000000" w:rsidRPr="00000000">
              <w:rPr>
                <w:rtl w:val="0"/>
              </w:rPr>
              <w:t xml:space="preserve">Story analysis worksheet, Coloring of map to identify free northern states, Problem/Solution based play for highly capable students, Chapter 4 Test</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2D">
            <w:pPr>
              <w:rPr>
                <w:color w:val="000000"/>
                <w:vertAlign w:val="baseline"/>
              </w:rPr>
            </w:pPr>
            <w:r w:rsidDel="00000000" w:rsidR="00000000" w:rsidRPr="00000000">
              <w:rPr>
                <w:color w:val="000000"/>
                <w:vertAlign w:val="baseline"/>
                <w:rtl w:val="0"/>
              </w:rPr>
              <w:t xml:space="preserve">Closure:</w:t>
            </w:r>
          </w:p>
          <w:p w:rsidR="00000000" w:rsidDel="00000000" w:rsidP="00000000" w:rsidRDefault="00000000" w:rsidRPr="00000000" w14:paraId="0000002E">
            <w:pPr>
              <w:rPr/>
            </w:pPr>
            <w:r w:rsidDel="00000000" w:rsidR="00000000" w:rsidRPr="00000000">
              <w:rPr>
                <w:rtl w:val="0"/>
              </w:rPr>
              <w:t xml:space="preserve">Students will end with a class discussion based on an Underground Railroad scholastic attached. </w:t>
            </w:r>
          </w:p>
          <w:p w:rsidR="00000000" w:rsidDel="00000000" w:rsidP="00000000" w:rsidRDefault="00000000" w:rsidRPr="00000000" w14:paraId="0000002F">
            <w:pPr>
              <w:spacing w:after="160" w:line="259" w:lineRule="auto"/>
              <w:rPr/>
            </w:pPr>
            <w:hyperlink r:id="rId7">
              <w:r w:rsidDel="00000000" w:rsidR="00000000" w:rsidRPr="00000000">
                <w:rPr>
                  <w:rFonts w:ascii="Century Gothic" w:cs="Century Gothic" w:eastAsia="Century Gothic" w:hAnsi="Century Gothic"/>
                  <w:b w:val="1"/>
                  <w:color w:val="1155cc"/>
                  <w:u w:val="single"/>
                  <w:rtl w:val="0"/>
                </w:rPr>
                <w:t xml:space="preserve">http://teacher.scholastic.com/activities/bhistory/underground_railroad/escape.htm</w:t>
              </w:r>
            </w:hyperlink>
            <w:r w:rsidDel="00000000" w:rsidR="00000000" w:rsidRPr="00000000">
              <w:rPr>
                <w:rtl w:val="0"/>
              </w:rPr>
            </w:r>
          </w:p>
          <w:p w:rsidR="00000000" w:rsidDel="00000000" w:rsidP="00000000" w:rsidRDefault="00000000" w:rsidRPr="00000000" w14:paraId="00000030">
            <w:pPr>
              <w:rPr>
                <w:b w:val="0"/>
                <w:color w:val="000000"/>
                <w:vertAlign w:val="baseline"/>
              </w:rPr>
            </w:pPr>
            <w:r w:rsidDel="00000000" w:rsidR="00000000" w:rsidRPr="00000000">
              <w:rPr>
                <w:rtl w:val="0"/>
              </w:rPr>
            </w:r>
          </w:p>
        </w:tc>
      </w:tr>
    </w:tbl>
    <w:p w:rsidR="00000000" w:rsidDel="00000000" w:rsidP="00000000" w:rsidRDefault="00000000" w:rsidRPr="00000000" w14:paraId="00000032">
      <w:pPr>
        <w:rPr>
          <w:rFonts w:ascii="Calibri" w:cs="Calibri" w:eastAsia="Calibri" w:hAnsi="Calibri"/>
          <w:color w:val="f3f3f3"/>
          <w:sz w:val="8"/>
          <w:szCs w:val="8"/>
        </w:rPr>
      </w:pPr>
      <w:hyperlink r:id="rId8">
        <w:r w:rsidDel="00000000" w:rsidR="00000000" w:rsidRPr="00000000">
          <w:rPr>
            <w:rFonts w:ascii="Calibri" w:cs="Calibri" w:eastAsia="Calibri" w:hAnsi="Calibri"/>
            <w:color w:val="f3f3f3"/>
            <w:sz w:val="8"/>
            <w:szCs w:val="8"/>
            <w:u w:val="single"/>
            <w:rtl w:val="0"/>
          </w:rPr>
          <w:t xml:space="preserve">weekly lesson plan template</w:t>
        </w:r>
      </w:hyperlink>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Teacher’s Name submitting plan: </w:t>
      </w:r>
      <w:hyperlink r:id="rId9">
        <w:r w:rsidDel="00000000" w:rsidR="00000000" w:rsidRPr="00000000">
          <w:rPr>
            <w:color w:val="0000ee"/>
            <w:u w:val="single"/>
            <w:shd w:fill="auto" w:val="clear"/>
            <w:rtl w:val="0"/>
          </w:rPr>
          <w:t xml:space="preserve">Marissa Boylston</w:t>
        </w:r>
      </w:hyperlink>
      <w:r w:rsidDel="00000000" w:rsidR="00000000" w:rsidRPr="00000000">
        <w:rPr>
          <w:b w:val="1"/>
          <w:rtl w:val="0"/>
        </w:rPr>
        <w:t xml:space="preserve">, </w:t>
      </w:r>
      <w:hyperlink r:id="rId10">
        <w:r w:rsidDel="00000000" w:rsidR="00000000" w:rsidRPr="00000000">
          <w:rPr>
            <w:color w:val="0000ee"/>
            <w:u w:val="single"/>
            <w:shd w:fill="auto" w:val="clear"/>
            <w:rtl w:val="0"/>
          </w:rPr>
          <w:t xml:space="preserve">Jill Maiorano</w:t>
        </w:r>
      </w:hyperlink>
      <w:r w:rsidDel="00000000" w:rsidR="00000000" w:rsidRPr="00000000">
        <w:rPr>
          <w:b w:val="1"/>
          <w:rtl w:val="0"/>
        </w:rPr>
        <w:t xml:space="preserve">, </w:t>
      </w:r>
      <w:hyperlink r:id="rId11">
        <w:r w:rsidDel="00000000" w:rsidR="00000000" w:rsidRPr="00000000">
          <w:rPr>
            <w:color w:val="0000ee"/>
            <w:u w:val="single"/>
            <w:shd w:fill="auto" w:val="clear"/>
            <w:rtl w:val="0"/>
          </w:rPr>
          <w:t xml:space="preserve">Samantha Church</w:t>
        </w:r>
      </w:hyperlink>
      <w:r w:rsidDel="00000000" w:rsidR="00000000" w:rsidRPr="00000000">
        <w:rPr>
          <w:b w:val="1"/>
          <w:rtl w:val="0"/>
        </w:rPr>
        <w:t xml:space="preserve">, </w:t>
      </w:r>
      <w:hyperlink r:id="rId12">
        <w:r w:rsidDel="00000000" w:rsidR="00000000" w:rsidRPr="00000000">
          <w:rPr>
            <w:color w:val="0000ee"/>
            <w:u w:val="single"/>
            <w:shd w:fill="auto" w:val="clear"/>
            <w:rtl w:val="0"/>
          </w:rPr>
          <w:t xml:space="preserve">Lauren Dessel</w:t>
        </w:r>
      </w:hyperlink>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Date submitted: 10/24/22</w:t>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rtl w:val="0"/>
        </w:rPr>
      </w:r>
    </w:p>
    <w:sectPr>
      <w:pgSz w:h="15840" w:w="12240" w:orient="portrait"/>
      <w:pgMar w:bottom="180" w:top="18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Georgia"/>
  <w:font w:name="Arial"/>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Comic Sans MS" w:hAnsi="Comic Sans MS"/>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schurch@milltownps.org" TargetMode="External"/><Relationship Id="rId10" Type="http://schemas.openxmlformats.org/officeDocument/2006/relationships/hyperlink" Target="mailto:jmaiorano@milltownps.org" TargetMode="External"/><Relationship Id="rId12" Type="http://schemas.openxmlformats.org/officeDocument/2006/relationships/hyperlink" Target="mailto:ldessel@milltownps.org" TargetMode="External"/><Relationship Id="rId9" Type="http://schemas.openxmlformats.org/officeDocument/2006/relationships/hyperlink" Target="mailto:mboylston@milltownp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eacher.scholastic.com/activities/bhistory/underground_railroad/escape.htm" TargetMode="External"/><Relationship Id="rId8" Type="http://schemas.openxmlformats.org/officeDocument/2006/relationships/hyperlink" Target="https://edutechspot.com/lesson-plan-template-google-doc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0HLrnimr65rTGHOqxySbmb8Wtg==">AMUW2mVNLPEz37tT365lEM8JqsEFVxt+xQTyo5d8/ApGByvFON4TaZwv+rYo0upOw9k/c26+UTXFGGu5Xff2Q9932bmgcYFelbo+9vi+F30o2Fr9wy2Ng+M=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2005-08-16T17:27:00Z</dcterms:created>
  <dc:creator>Rusty Mumford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1214317929</vt:i4>
  </property>
  <property fmtid="{D5CDD505-2E9C-101B-9397-08002B2CF9AE}" pid="3" name="_EmailSubject">
    <vt:lpwstr>Module II oops</vt:lpwstr>
  </property>
  <property fmtid="{D5CDD505-2E9C-101B-9397-08002B2CF9AE}" pid="4" name="_AuthorEmail">
    <vt:lpwstr>VoelkerC@calvertnet.k12.md.us</vt:lpwstr>
  </property>
  <property fmtid="{D5CDD505-2E9C-101B-9397-08002B2CF9AE}" pid="5" name="_AuthorEmailDisplayName">
    <vt:lpwstr>Voelker, Chris</vt:lpwstr>
  </property>
</Properties>
</file>