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8 Unit 1: Team-building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rationale of the Teambuilding Unit is to provide students with the basic knowledge and experience needed to understand the importance of cooperation, communication and trust as it relates to many life-skills.  Through their participation in various teamwork activities, they will gain a better understanding of great leadership characteristics, effective communication, and what makes a great team member. When working effectively as a team, students should be able to apply skills used in other aspects of their life.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What are the benefits of working in a group?</w:t>
            </w:r>
          </w:p>
          <w:p w:rsidR="00000000" w:rsidDel="00000000" w:rsidP="00000000" w:rsidRDefault="00000000" w:rsidRPr="00000000" w14:paraId="0000003E">
            <w:pPr>
              <w:pageBreakBefore w:val="0"/>
              <w:rPr/>
            </w:pPr>
            <w:r w:rsidDel="00000000" w:rsidR="00000000" w:rsidRPr="00000000">
              <w:rPr>
                <w:rtl w:val="0"/>
              </w:rPr>
              <w:t xml:space="preserve">What are some things you have learned by working with diverse peers?</w:t>
            </w:r>
          </w:p>
          <w:p w:rsidR="00000000" w:rsidDel="00000000" w:rsidP="00000000" w:rsidRDefault="00000000" w:rsidRPr="00000000" w14:paraId="0000003F">
            <w:pPr>
              <w:pageBreakBefore w:val="0"/>
              <w:rPr/>
            </w:pPr>
            <w:r w:rsidDel="00000000" w:rsidR="00000000" w:rsidRPr="00000000">
              <w:rPr>
                <w:rtl w:val="0"/>
              </w:rPr>
              <w:t xml:space="preserve">How do we communicate in different social settings?</w:t>
            </w:r>
          </w:p>
          <w:p w:rsidR="00000000" w:rsidDel="00000000" w:rsidP="00000000" w:rsidRDefault="00000000" w:rsidRPr="00000000" w14:paraId="00000040">
            <w:pPr>
              <w:pageBreakBefore w:val="0"/>
              <w:rPr/>
            </w:pPr>
            <w:r w:rsidDel="00000000" w:rsidR="00000000" w:rsidRPr="00000000">
              <w:rPr>
                <w:rtl w:val="0"/>
              </w:rPr>
              <w:t xml:space="preserve">What is the importance of building a strong team, no matter who’s a part of it?</w:t>
            </w:r>
          </w:p>
          <w:p w:rsidR="00000000" w:rsidDel="00000000" w:rsidP="00000000" w:rsidRDefault="00000000" w:rsidRPr="00000000" w14:paraId="00000041">
            <w:pPr>
              <w:pageBreakBefore w:val="0"/>
              <w:rPr/>
            </w:pPr>
            <w:r w:rsidDel="00000000" w:rsidR="00000000" w:rsidRPr="00000000">
              <w:rPr>
                <w:rtl w:val="0"/>
              </w:rPr>
              <w:t xml:space="preserve">What are some strategies you us to motivate yourself or teammate?</w:t>
            </w:r>
          </w:p>
          <w:p w:rsidR="00000000" w:rsidDel="00000000" w:rsidP="00000000" w:rsidRDefault="00000000" w:rsidRPr="00000000" w14:paraId="00000042">
            <w:pPr>
              <w:pageBreakBefore w:val="0"/>
              <w:rPr/>
            </w:pPr>
            <w:r w:rsidDel="00000000" w:rsidR="00000000" w:rsidRPr="00000000">
              <w:rPr>
                <w:rtl w:val="0"/>
              </w:rPr>
              <w:t xml:space="preserve">How could interaction with others affect our individual performance?</w:t>
            </w:r>
          </w:p>
          <w:p w:rsidR="00000000" w:rsidDel="00000000" w:rsidP="00000000" w:rsidRDefault="00000000" w:rsidRPr="00000000" w14:paraId="00000043">
            <w:pPr>
              <w:pageBreakBefore w:val="0"/>
              <w:rPr/>
            </w:pPr>
            <w:r w:rsidDel="00000000" w:rsidR="00000000" w:rsidRPr="00000000">
              <w:rPr>
                <w:rtl w:val="0"/>
              </w:rPr>
              <w:t xml:space="preserve">What are the benefits of teamwork and good sportsmanship?</w:t>
            </w:r>
          </w:p>
        </w:tc>
      </w:tr>
      <w:tr>
        <w:trPr>
          <w:cantSplit w:val="0"/>
          <w:trHeight w:val="220" w:hRule="atLeast"/>
          <w:tblHeader w:val="0"/>
        </w:trPr>
        <w:tc>
          <w:tcPr>
            <w:gridSpan w:val="3"/>
            <w:shd w:fill="1f497d" w:val="cle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F">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50">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51">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2">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4">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5">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7">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8">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9">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b w:val="1"/>
                <w:color w:val="000000"/>
                <w:sz w:val="22"/>
                <w:szCs w:val="22"/>
              </w:rPr>
            </w:pPr>
            <w:r w:rsidDel="00000000" w:rsidR="00000000" w:rsidRPr="00000000">
              <w:rPr>
                <w:rFonts w:ascii="Calibri" w:cs="Calibri" w:eastAsia="Calibri" w:hAnsi="Calibri"/>
                <w:b w:val="0"/>
                <w:color w:val="000000"/>
                <w:sz w:val="22"/>
                <w:szCs w:val="22"/>
                <w:rtl w:val="0"/>
              </w:rPr>
              <w:t xml:space="preserve">safety rules involving activity being taught</w:t>
            </w:r>
            <w:r w:rsidDel="00000000" w:rsidR="00000000" w:rsidRPr="00000000">
              <w:rPr>
                <w:rtl w:val="0"/>
              </w:rPr>
            </w:r>
          </w:p>
          <w:p w:rsidR="00000000" w:rsidDel="00000000" w:rsidP="00000000" w:rsidRDefault="00000000" w:rsidRPr="00000000" w14:paraId="0000005A">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b w:val="1"/>
                <w:color w:val="000000"/>
                <w:sz w:val="22"/>
                <w:szCs w:val="22"/>
              </w:rPr>
            </w:pPr>
            <w:r w:rsidDel="00000000" w:rsidR="00000000" w:rsidRPr="00000000">
              <w:rPr>
                <w:rFonts w:ascii="Calibri" w:cs="Calibri" w:eastAsia="Calibri" w:hAnsi="Calibri"/>
                <w:b w:val="0"/>
                <w:color w:val="000000"/>
                <w:sz w:val="22"/>
                <w:szCs w:val="22"/>
                <w:rtl w:val="0"/>
              </w:rPr>
              <w:t xml:space="preserve">communication is key</w:t>
            </w:r>
            <w:r w:rsidDel="00000000" w:rsidR="00000000" w:rsidRPr="00000000">
              <w:rPr>
                <w:rFonts w:ascii="Calibri" w:cs="Calibri" w:eastAsia="Calibri" w:hAnsi="Calibri"/>
                <w:b w:val="1"/>
                <w:color w:val="000000"/>
                <w:sz w:val="22"/>
                <w:szCs w:val="22"/>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verbal</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Fonts w:ascii="Calibri" w:cs="Calibri" w:eastAsia="Calibri" w:hAnsi="Calibri"/>
                <w:b w:val="0"/>
                <w:color w:val="000000"/>
                <w:sz w:val="22"/>
                <w:szCs w:val="22"/>
                <w:rtl w:val="0"/>
              </w:rPr>
              <w:t xml:space="preserve">       body language</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Fonts w:ascii="Calibri" w:cs="Calibri" w:eastAsia="Calibri" w:hAnsi="Calibri"/>
                <w:b w:val="0"/>
                <w:color w:val="000000"/>
                <w:sz w:val="22"/>
                <w:szCs w:val="22"/>
                <w:rtl w:val="0"/>
              </w:rPr>
              <w:t xml:space="preserve">       eye signals</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Fonts w:ascii="Calibri" w:cs="Calibri" w:eastAsia="Calibri" w:hAnsi="Calibri"/>
                <w:b w:val="0"/>
                <w:color w:val="000000"/>
                <w:sz w:val="22"/>
                <w:szCs w:val="22"/>
                <w:rtl w:val="0"/>
              </w:rPr>
              <w:t xml:space="preserve">       listen</w:t>
            </w:r>
            <w:r w:rsidDel="00000000" w:rsidR="00000000" w:rsidRPr="00000000">
              <w:rPr>
                <w:rtl w:val="0"/>
              </w:rPr>
            </w:r>
          </w:p>
          <w:p w:rsidR="00000000" w:rsidDel="00000000" w:rsidP="00000000" w:rsidRDefault="00000000" w:rsidRPr="00000000" w14:paraId="0000005F">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socially interact</w:t>
            </w:r>
            <w:r w:rsidDel="00000000" w:rsidR="00000000" w:rsidRPr="00000000">
              <w:rPr>
                <w:rtl w:val="0"/>
              </w:rPr>
            </w:r>
          </w:p>
          <w:p w:rsidR="00000000" w:rsidDel="00000000" w:rsidP="00000000" w:rsidRDefault="00000000" w:rsidRPr="00000000" w14:paraId="00000060">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give positive feedback</w:t>
            </w:r>
            <w:r w:rsidDel="00000000" w:rsidR="00000000" w:rsidRPr="00000000">
              <w:rPr>
                <w:rtl w:val="0"/>
              </w:rPr>
            </w:r>
          </w:p>
          <w:p w:rsidR="00000000" w:rsidDel="00000000" w:rsidP="00000000" w:rsidRDefault="00000000" w:rsidRPr="00000000" w14:paraId="00000061">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adapt to different types of competition</w:t>
            </w:r>
            <w:r w:rsidDel="00000000" w:rsidR="00000000" w:rsidRPr="00000000">
              <w:rPr>
                <w:rtl w:val="0"/>
              </w:rPr>
            </w:r>
          </w:p>
          <w:p w:rsidR="00000000" w:rsidDel="00000000" w:rsidP="00000000" w:rsidRDefault="00000000" w:rsidRPr="00000000" w14:paraId="00000062">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different strategies for games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6">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demonstrate self-confidence in individual and group activities</w:t>
            </w:r>
            <w:r w:rsidDel="00000000" w:rsidR="00000000" w:rsidRPr="00000000">
              <w:rPr>
                <w:rtl w:val="0"/>
              </w:rPr>
            </w:r>
          </w:p>
          <w:p w:rsidR="00000000" w:rsidDel="00000000" w:rsidP="00000000" w:rsidRDefault="00000000" w:rsidRPr="00000000" w14:paraId="00000067">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work cooperatively toward attainment of group goals</w:t>
            </w:r>
            <w:r w:rsidDel="00000000" w:rsidR="00000000" w:rsidRPr="00000000">
              <w:rPr>
                <w:rtl w:val="0"/>
              </w:rPr>
            </w:r>
          </w:p>
          <w:p w:rsidR="00000000" w:rsidDel="00000000" w:rsidP="00000000" w:rsidRDefault="00000000" w:rsidRPr="00000000" w14:paraId="00000068">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support all members of the class by giving positive feedback on group and individual assignments</w:t>
            </w:r>
            <w:r w:rsidDel="00000000" w:rsidR="00000000" w:rsidRPr="00000000">
              <w:rPr>
                <w:rtl w:val="0"/>
              </w:rPr>
            </w:r>
          </w:p>
          <w:p w:rsidR="00000000" w:rsidDel="00000000" w:rsidP="00000000" w:rsidRDefault="00000000" w:rsidRPr="00000000" w14:paraId="00000069">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delegate or accept roles as leaders or followers depending on their communication and athletic ability in the area being taught</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Accepting team roles</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Leader</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Shaper</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Implementer</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Coordinator</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Follower</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Completer</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Building communication Skills</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Speaking Skills</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Listening Skills</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Writing Skills</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Creating an environment that is fun and non-threatening, using games that are non- competitive/competitive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 self-assessment to improve in performance</w:t>
            </w:r>
            <w:r w:rsidDel="00000000" w:rsidR="00000000" w:rsidRPr="00000000">
              <w:rPr>
                <w:rtl w:val="0"/>
              </w:rPr>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Observation of team play</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appropriately participate in team challenges/activities with all members of the class </w:t>
            </w:r>
            <w:r w:rsidDel="00000000" w:rsidR="00000000" w:rsidRPr="00000000">
              <w:rPr>
                <w:rtl w:val="0"/>
              </w:rPr>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Is able to incorporate teamwork, communication, cooperation, and problem solving to solve all team challenges </w:t>
            </w:r>
            <w:r w:rsidDel="00000000" w:rsidR="00000000" w:rsidRPr="00000000">
              <w:rPr>
                <w:rtl w:val="0"/>
              </w:rPr>
            </w:r>
          </w:p>
          <w:p w:rsidR="00000000" w:rsidDel="00000000" w:rsidP="00000000" w:rsidRDefault="00000000" w:rsidRPr="00000000" w14:paraId="0000009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Displays respectful behaviors towards all classmates</w:t>
            </w:r>
            <w:r w:rsidDel="00000000" w:rsidR="00000000" w:rsidRPr="00000000">
              <w:rPr>
                <w:rtl w:val="0"/>
              </w:rPr>
            </w:r>
          </w:p>
          <w:p w:rsidR="00000000" w:rsidDel="00000000" w:rsidP="00000000" w:rsidRDefault="00000000" w:rsidRPr="00000000" w14:paraId="0000009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will successfully complete a number of team challenges in order to improve their communication skills.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Cooperative Games</w:t>
            </w:r>
            <w:r w:rsidDel="00000000" w:rsidR="00000000" w:rsidRPr="00000000">
              <w:rPr>
                <w:rtl w:val="0"/>
              </w:rPr>
            </w:r>
          </w:p>
          <w:p w:rsidR="00000000" w:rsidDel="00000000" w:rsidP="00000000" w:rsidRDefault="00000000" w:rsidRPr="00000000" w14:paraId="0000009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Lead up Activities</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D">
            <w:pPr>
              <w:pageBreakBefore w:val="0"/>
              <w:rPr/>
            </w:pPr>
            <w:r w:rsidDel="00000000" w:rsidR="00000000" w:rsidRPr="00000000">
              <w:rPr>
                <w:rtl w:val="0"/>
              </w:rPr>
              <w:t xml:space="preserve">Card Have You Ever:</w:t>
            </w:r>
          </w:p>
          <w:p w:rsidR="00000000" w:rsidDel="00000000" w:rsidP="00000000" w:rsidRDefault="00000000" w:rsidRPr="00000000" w14:paraId="0000009E">
            <w:pPr>
              <w:pageBreakBefore w:val="0"/>
              <w:rPr/>
            </w:pPr>
            <w:r w:rsidDel="00000000" w:rsidR="00000000" w:rsidRPr="00000000">
              <w:rPr>
                <w:rtl w:val="0"/>
              </w:rPr>
              <w:t xml:space="preserve">FFEACH:</w:t>
            </w:r>
          </w:p>
          <w:p w:rsidR="00000000" w:rsidDel="00000000" w:rsidP="00000000" w:rsidRDefault="00000000" w:rsidRPr="00000000" w14:paraId="0000009F">
            <w:pPr>
              <w:pageBreakBefore w:val="0"/>
              <w:rPr/>
            </w:pPr>
            <w:r w:rsidDel="00000000" w:rsidR="00000000" w:rsidRPr="00000000">
              <w:rPr>
                <w:rtl w:val="0"/>
              </w:rPr>
              <w:t xml:space="preserve">The Maze: </w:t>
            </w:r>
          </w:p>
          <w:p w:rsidR="00000000" w:rsidDel="00000000" w:rsidP="00000000" w:rsidRDefault="00000000" w:rsidRPr="00000000" w14:paraId="000000A0">
            <w:pPr>
              <w:pageBreakBefore w:val="0"/>
              <w:rPr/>
            </w:pPr>
            <w:r w:rsidDel="00000000" w:rsidR="00000000" w:rsidRPr="00000000">
              <w:rPr>
                <w:rtl w:val="0"/>
              </w:rPr>
              <w:t xml:space="preserve">Speed Rabbit</w:t>
            </w:r>
          </w:p>
          <w:p w:rsidR="00000000" w:rsidDel="00000000" w:rsidP="00000000" w:rsidRDefault="00000000" w:rsidRPr="00000000" w14:paraId="000000A1">
            <w:pPr>
              <w:pageBreakBefore w:val="0"/>
              <w:rPr/>
            </w:pPr>
            <w:r w:rsidDel="00000000" w:rsidR="00000000" w:rsidRPr="00000000">
              <w:rPr>
                <w:rtl w:val="0"/>
              </w:rPr>
              <w:t xml:space="preserve">Balloon Trolley’s </w:t>
            </w:r>
          </w:p>
          <w:p w:rsidR="00000000" w:rsidDel="00000000" w:rsidP="00000000" w:rsidRDefault="00000000" w:rsidRPr="00000000" w14:paraId="000000A2">
            <w:pPr>
              <w:pageBreakBefore w:val="0"/>
              <w:rPr/>
            </w:pPr>
            <w:r w:rsidDel="00000000" w:rsidR="00000000" w:rsidRPr="00000000">
              <w:rPr>
                <w:rtl w:val="0"/>
              </w:rPr>
              <w:t xml:space="preserve">Trolley’s</w:t>
            </w:r>
          </w:p>
          <w:p w:rsidR="00000000" w:rsidDel="00000000" w:rsidP="00000000" w:rsidRDefault="00000000" w:rsidRPr="00000000" w14:paraId="000000A3">
            <w:pPr>
              <w:pageBreakBefore w:val="0"/>
              <w:rPr/>
            </w:pPr>
            <w:r w:rsidDel="00000000" w:rsidR="00000000" w:rsidRPr="00000000">
              <w:rPr>
                <w:rtl w:val="0"/>
              </w:rPr>
              <w:t xml:space="preserve">Market Place Relay</w:t>
            </w:r>
          </w:p>
          <w:p w:rsidR="00000000" w:rsidDel="00000000" w:rsidP="00000000" w:rsidRDefault="00000000" w:rsidRPr="00000000" w14:paraId="000000A4">
            <w:pPr>
              <w:pageBreakBefore w:val="0"/>
              <w:rPr/>
            </w:pPr>
            <w:r w:rsidDel="00000000" w:rsidR="00000000" w:rsidRPr="00000000">
              <w:rPr>
                <w:rtl w:val="0"/>
              </w:rPr>
              <w:t xml:space="preserve">The Great Communicator</w:t>
            </w:r>
          </w:p>
          <w:p w:rsidR="00000000" w:rsidDel="00000000" w:rsidP="00000000" w:rsidRDefault="00000000" w:rsidRPr="00000000" w14:paraId="000000A5">
            <w:pPr>
              <w:pageBreakBefore w:val="0"/>
              <w:rPr/>
            </w:pPr>
            <w:r w:rsidDel="00000000" w:rsidR="00000000" w:rsidRPr="00000000">
              <w:rPr>
                <w:rtl w:val="0"/>
              </w:rPr>
              <w:t xml:space="preserve">Ready Aim</w:t>
            </w:r>
          </w:p>
          <w:p w:rsidR="00000000" w:rsidDel="00000000" w:rsidP="00000000" w:rsidRDefault="00000000" w:rsidRPr="00000000" w14:paraId="000000A6">
            <w:pPr>
              <w:pageBreakBefore w:val="0"/>
              <w:rPr/>
            </w:pPr>
            <w:r w:rsidDel="00000000" w:rsidR="00000000" w:rsidRPr="00000000">
              <w:rPr>
                <w:rtl w:val="0"/>
              </w:rPr>
              <w:t xml:space="preserve">Tangle Knots</w:t>
            </w:r>
          </w:p>
          <w:p w:rsidR="00000000" w:rsidDel="00000000" w:rsidP="00000000" w:rsidRDefault="00000000" w:rsidRPr="00000000" w14:paraId="000000A7">
            <w:pPr>
              <w:pageBreakBefore w:val="0"/>
              <w:rPr/>
            </w:pPr>
            <w:r w:rsidDel="00000000" w:rsidR="00000000" w:rsidRPr="00000000">
              <w:rPr>
                <w:rtl w:val="0"/>
              </w:rPr>
              <w:t xml:space="preserve">Follow the Leader</w:t>
            </w:r>
          </w:p>
          <w:p w:rsidR="00000000" w:rsidDel="00000000" w:rsidP="00000000" w:rsidRDefault="00000000" w:rsidRPr="00000000" w14:paraId="000000A8">
            <w:pPr>
              <w:pageBreakBefore w:val="0"/>
              <w:rPr/>
            </w:pPr>
            <w:r w:rsidDel="00000000" w:rsidR="00000000" w:rsidRPr="00000000">
              <w:rPr>
                <w:rtl w:val="0"/>
              </w:rPr>
              <w:t xml:space="preserve">Scavenger Hunt</w:t>
            </w:r>
          </w:p>
          <w:p w:rsidR="00000000" w:rsidDel="00000000" w:rsidP="00000000" w:rsidRDefault="00000000" w:rsidRPr="00000000" w14:paraId="000000A9">
            <w:pPr>
              <w:pageBreakBefore w:val="0"/>
              <w:rPr/>
            </w:pPr>
            <w:r w:rsidDel="00000000" w:rsidR="00000000" w:rsidRPr="00000000">
              <w:rPr>
                <w:rtl w:val="0"/>
              </w:rPr>
              <w:t xml:space="preserve">Double Sided Line</w:t>
            </w:r>
          </w:p>
          <w:p w:rsidR="00000000" w:rsidDel="00000000" w:rsidP="00000000" w:rsidRDefault="00000000" w:rsidRPr="00000000" w14:paraId="000000AA">
            <w:pPr>
              <w:pageBreakBefore w:val="0"/>
              <w:rPr/>
            </w:pPr>
            <w:r w:rsidDel="00000000" w:rsidR="00000000" w:rsidRPr="00000000">
              <w:rPr>
                <w:rtl w:val="0"/>
              </w:rPr>
              <w:t xml:space="preserve">Chicken Baseball</w:t>
            </w:r>
          </w:p>
          <w:p w:rsidR="00000000" w:rsidDel="00000000" w:rsidP="00000000" w:rsidRDefault="00000000" w:rsidRPr="00000000" w14:paraId="000000AB">
            <w:pPr>
              <w:pageBreakBefore w:val="0"/>
              <w:rPr/>
            </w:pPr>
            <w:r w:rsidDel="00000000" w:rsidR="00000000" w:rsidRPr="00000000">
              <w:rPr>
                <w:rtl w:val="0"/>
              </w:rPr>
              <w:t xml:space="preserve">Cops and Robbers</w:t>
            </w:r>
          </w:p>
          <w:p w:rsidR="00000000" w:rsidDel="00000000" w:rsidP="00000000" w:rsidRDefault="00000000" w:rsidRPr="00000000" w14:paraId="000000AC">
            <w:pPr>
              <w:pageBreakBefore w:val="0"/>
              <w:rPr/>
            </w:pPr>
            <w:r w:rsidDel="00000000" w:rsidR="00000000" w:rsidRPr="00000000">
              <w:rPr>
                <w:rtl w:val="0"/>
              </w:rPr>
              <w:t xml:space="preserve">Trust</w:t>
            </w:r>
          </w:p>
          <w:p w:rsidR="00000000" w:rsidDel="00000000" w:rsidP="00000000" w:rsidRDefault="00000000" w:rsidRPr="00000000" w14:paraId="000000AD">
            <w:pPr>
              <w:pageBreakBefore w:val="0"/>
              <w:rPr/>
            </w:pPr>
            <w:r w:rsidDel="00000000" w:rsidR="00000000" w:rsidRPr="00000000">
              <w:rPr>
                <w:rtl w:val="0"/>
              </w:rPr>
              <w:t xml:space="preserve">Human Puzzle</w:t>
            </w:r>
          </w:p>
          <w:p w:rsidR="00000000" w:rsidDel="00000000" w:rsidP="00000000" w:rsidRDefault="00000000" w:rsidRPr="00000000" w14:paraId="000000AE">
            <w:pPr>
              <w:pageBreakBefore w:val="0"/>
              <w:rPr/>
            </w:pPr>
            <w:r w:rsidDel="00000000" w:rsidR="00000000" w:rsidRPr="00000000">
              <w:rPr>
                <w:rtl w:val="0"/>
              </w:rPr>
              <w:t xml:space="preserve">Circle Cit</w:t>
            </w:r>
          </w:p>
          <w:p w:rsidR="00000000" w:rsidDel="00000000" w:rsidP="00000000" w:rsidRDefault="00000000" w:rsidRPr="00000000" w14:paraId="000000AF">
            <w:pPr>
              <w:pageBreakBefore w:val="0"/>
              <w:rPr/>
            </w:pPr>
            <w:r w:rsidDel="00000000" w:rsidR="00000000" w:rsidRPr="00000000">
              <w:rPr>
                <w:rtl w:val="0"/>
              </w:rPr>
              <w:t xml:space="preserve">Loop the Hoop</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B2">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3">
            <w:pPr>
              <w:pageBreakBefore w:val="0"/>
              <w:rPr/>
            </w:pPr>
            <w:r w:rsidDel="00000000" w:rsidR="00000000" w:rsidRPr="00000000">
              <w:rPr>
                <w:rtl w:val="0"/>
              </w:rPr>
              <w:t xml:space="preserve">Unit focus on personal health</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B6">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9">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C">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F">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C8">
            <w:pPr>
              <w:pageBreakBefore w:val="0"/>
              <w:rPr>
                <w:color w:val="1155cc"/>
                <w:u w:val="single"/>
              </w:rPr>
            </w:pPr>
            <w:r w:rsidDel="00000000" w:rsidR="00000000" w:rsidRPr="00000000">
              <w:fldChar w:fldCharType="begin"/>
              <w:instrText xml:space="preserve"> HYPERLINK "http://www.pecentral.com" </w:instrText>
              <w:fldChar w:fldCharType="separate"/>
            </w:r>
            <w:r w:rsidDel="00000000" w:rsidR="00000000" w:rsidRPr="00000000">
              <w:rPr>
                <w:color w:val="1155cc"/>
                <w:u w:val="single"/>
                <w:rtl w:val="0"/>
              </w:rPr>
              <w:t xml:space="preserve">www.pecentral.com</w:t>
            </w:r>
          </w:p>
          <w:p w:rsidR="00000000" w:rsidDel="00000000" w:rsidP="00000000" w:rsidRDefault="00000000" w:rsidRPr="00000000" w14:paraId="000000C9">
            <w:pPr>
              <w:pageBreakBefore w:val="0"/>
              <w:rPr>
                <w:color w:val="1155cc"/>
                <w:u w:val="single"/>
              </w:rPr>
            </w:pPr>
            <w:r w:rsidDel="00000000" w:rsidR="00000000" w:rsidRPr="00000000">
              <w:fldChar w:fldCharType="end"/>
            </w:r>
            <w:r w:rsidDel="00000000" w:rsidR="00000000" w:rsidRPr="00000000">
              <w:fldChar w:fldCharType="begin"/>
              <w:instrText xml:space="preserve"> HYPERLINK "http://www.mrgym.com/CooperativeGames.htm" </w:instrText>
              <w:fldChar w:fldCharType="separate"/>
            </w:r>
            <w:r w:rsidDel="00000000" w:rsidR="00000000" w:rsidRPr="00000000">
              <w:rPr>
                <w:color w:val="1155cc"/>
                <w:u w:val="single"/>
                <w:rtl w:val="0"/>
              </w:rPr>
              <w:t xml:space="preserve">www.mrgym.com/CooperativeGames.htm</w:t>
            </w:r>
          </w:p>
          <w:p w:rsidR="00000000" w:rsidDel="00000000" w:rsidP="00000000" w:rsidRDefault="00000000" w:rsidRPr="00000000" w14:paraId="000000CA">
            <w:pPr>
              <w:pageBreakBefore w:val="0"/>
              <w:rPr>
                <w:color w:val="1155cc"/>
                <w:u w:val="single"/>
              </w:rPr>
            </w:pPr>
            <w:r w:rsidDel="00000000" w:rsidR="00000000" w:rsidRPr="00000000">
              <w:fldChar w:fldCharType="end"/>
            </w:r>
            <w:r w:rsidDel="00000000" w:rsidR="00000000" w:rsidRPr="00000000">
              <w:fldChar w:fldCharType="begin"/>
              <w:instrText xml:space="preserve"> HYPERLINK "http://www.learningforlife.org/exploring/resources/99-720/x08.pdf" </w:instrText>
              <w:fldChar w:fldCharType="separate"/>
            </w:r>
            <w:r w:rsidDel="00000000" w:rsidR="00000000" w:rsidRPr="00000000">
              <w:rPr>
                <w:color w:val="1155cc"/>
                <w:u w:val="single"/>
                <w:rtl w:val="0"/>
              </w:rPr>
              <w:t xml:space="preserve">www.learningforlife.org/exploring/resources/99-720/x08.pdf</w:t>
            </w:r>
          </w:p>
          <w:p w:rsidR="00000000" w:rsidDel="00000000" w:rsidP="00000000" w:rsidRDefault="00000000" w:rsidRPr="00000000" w14:paraId="000000CB">
            <w:pPr>
              <w:pageBreakBefore w:val="0"/>
              <w:rPr/>
            </w:pPr>
            <w:r w:rsidDel="00000000" w:rsidR="00000000" w:rsidRPr="00000000">
              <w:fldChar w:fldCharType="end"/>
            </w:r>
            <w:hyperlink r:id="rId6">
              <w:r w:rsidDel="00000000" w:rsidR="00000000" w:rsidRPr="00000000">
                <w:rPr>
                  <w:color w:val="1155cc"/>
                  <w:u w:val="single"/>
                  <w:rtl w:val="0"/>
                </w:rPr>
                <w:t xml:space="preserve">https://www.schenectady.k12.ny.us/About_SCSD/Academic/Physical_Education/PhysicalEducation/PE.cooperativegames.k8.pdf</w:t>
              </w:r>
            </w:hyperlink>
            <w:r w:rsidDel="00000000" w:rsidR="00000000" w:rsidRPr="00000000">
              <w:rPr>
                <w:rtl w:val="0"/>
              </w:rPr>
            </w:r>
          </w:p>
          <w:p w:rsidR="00000000" w:rsidDel="00000000" w:rsidP="00000000" w:rsidRDefault="00000000" w:rsidRPr="00000000" w14:paraId="000000CC">
            <w:pPr>
              <w:pageBreakBefore w:val="0"/>
              <w:rPr>
                <w:color w:val="1155cc"/>
                <w:u w:val="single"/>
              </w:rPr>
            </w:pP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rPr>
                <w:rtl w:val="0"/>
              </w:rPr>
            </w:r>
          </w:p>
          <w:p w:rsidR="00000000" w:rsidDel="00000000" w:rsidP="00000000" w:rsidRDefault="00000000" w:rsidRPr="00000000" w14:paraId="000000C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rPr>
            </w:pP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Other resources in teacher files.</w:t>
            </w:r>
          </w:p>
        </w:tc>
      </w:tr>
      <w:tr>
        <w:trPr>
          <w:cantSplit w:val="0"/>
          <w:trHeight w:val="120" w:hRule="atLeast"/>
          <w:tblHeader w:val="0"/>
        </w:trPr>
        <w:tc>
          <w:tcPr>
            <w:gridSpan w:val="6"/>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4">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5">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6">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D7">
            <w:pPr>
              <w:pageBreakBefore w:val="0"/>
              <w:rPr/>
            </w:pPr>
            <w:hyperlink r:id="rId7">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D8">
            <w:pPr>
              <w:pageBreakBefore w:val="0"/>
              <w:rPr/>
            </w:pPr>
            <w:hyperlink r:id="rId8">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D9">
            <w:pPr>
              <w:pageBreakBefore w:val="0"/>
              <w:rPr/>
            </w:pPr>
            <w:hyperlink r:id="rId9">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p>
          <w:p w:rsidR="00000000" w:rsidDel="00000000" w:rsidP="00000000" w:rsidRDefault="00000000" w:rsidRPr="00000000" w14:paraId="000000DA">
            <w:pPr>
              <w:pageBreakBefore w:val="0"/>
              <w:rPr>
                <w:b w:val="1"/>
                <w:u w:val="single"/>
              </w:rPr>
            </w:pPr>
            <w:r w:rsidDel="00000000" w:rsidR="00000000" w:rsidRPr="00000000">
              <w:rPr>
                <w:rtl w:val="0"/>
              </w:rPr>
            </w:r>
          </w:p>
          <w:p w:rsidR="00000000" w:rsidDel="00000000" w:rsidP="00000000" w:rsidRDefault="00000000" w:rsidRPr="00000000" w14:paraId="000000DB">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DC">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0DD">
            <w:pPr>
              <w:pageBreakBefore w:val="0"/>
              <w:numPr>
                <w:ilvl w:val="0"/>
                <w:numId w:val="1"/>
              </w:numPr>
              <w:ind w:left="720" w:hanging="360"/>
            </w:pPr>
            <w:r w:rsidDel="00000000" w:rsidR="00000000" w:rsidRPr="00000000">
              <w:rPr>
                <w:rtl w:val="0"/>
              </w:rPr>
              <w:t xml:space="preserve">effect of health and exercise on physical and biological states</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0">
            <w:pPr>
              <w:pageBreakBefore w:val="0"/>
              <w:rPr>
                <w:b w:val="1"/>
                <w:color w:val="0070c0"/>
              </w:rPr>
            </w:pPr>
            <w:r w:rsidDel="00000000" w:rsidR="00000000" w:rsidRPr="00000000">
              <w:rPr>
                <w:rtl w:val="0"/>
              </w:rPr>
              <w:t xml:space="preserve">Statistics and Probability  8.SP</w:t>
            </w:r>
            <w:r w:rsidDel="00000000" w:rsidR="00000000" w:rsidRPr="00000000">
              <w:rPr>
                <w:rtl w:val="0"/>
              </w:rPr>
            </w:r>
          </w:p>
          <w:p w:rsidR="00000000" w:rsidDel="00000000" w:rsidP="00000000" w:rsidRDefault="00000000" w:rsidRPr="00000000" w14:paraId="000000E1">
            <w:pPr>
              <w:pageBreakBefore w:val="0"/>
              <w:spacing w:after="80" w:before="40" w:lineRule="auto"/>
              <w:rPr/>
            </w:pPr>
            <w:r w:rsidDel="00000000" w:rsidR="00000000" w:rsidRPr="00000000">
              <w:rPr>
                <w:rtl w:val="0"/>
              </w:rPr>
              <w:t xml:space="preserve">A. Investigate patterns of association in bivariate data.</w:t>
            </w:r>
          </w:p>
          <w:p w:rsidR="00000000" w:rsidDel="00000000" w:rsidP="00000000" w:rsidRDefault="00000000" w:rsidRPr="00000000" w14:paraId="000000E2">
            <w:pPr>
              <w:pageBreakBefore w:val="0"/>
              <w:numPr>
                <w:ilvl w:val="0"/>
                <w:numId w:val="2"/>
              </w:numPr>
              <w:spacing w:after="80" w:before="40" w:lineRule="auto"/>
              <w:ind w:left="720" w:hanging="360"/>
              <w:rPr/>
            </w:pPr>
            <w:r w:rsidDel="00000000" w:rsidR="00000000" w:rsidRPr="00000000">
              <w:rPr>
                <w:rtl w:val="0"/>
              </w:rPr>
              <w:t xml:space="preserve">students work with data and statistics related to team sports and games</w:t>
            </w:r>
          </w:p>
        </w:tc>
      </w:tr>
    </w:tbl>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9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2"/>
      <w:numFmt w:val="bullet"/>
      <w:lvlText w:val="●"/>
      <w:lvlJc w:val="left"/>
      <w:pPr>
        <w:ind w:left="405" w:firstLine="45"/>
      </w:pPr>
      <w:rPr>
        <w:rFonts w:ascii="Arial" w:cs="Arial" w:eastAsia="Arial" w:hAnsi="Arial"/>
      </w:rPr>
    </w:lvl>
    <w:lvl w:ilvl="1">
      <w:start w:val="1"/>
      <w:numFmt w:val="bullet"/>
      <w:lvlText w:val="o"/>
      <w:lvlJc w:val="left"/>
      <w:pPr>
        <w:ind w:left="1125" w:firstLine="765"/>
      </w:pPr>
      <w:rPr>
        <w:rFonts w:ascii="Arial" w:cs="Arial" w:eastAsia="Arial" w:hAnsi="Arial"/>
      </w:rPr>
    </w:lvl>
    <w:lvl w:ilvl="2">
      <w:start w:val="1"/>
      <w:numFmt w:val="bullet"/>
      <w:lvlText w:val="▪"/>
      <w:lvlJc w:val="left"/>
      <w:pPr>
        <w:ind w:left="1845" w:firstLine="1485"/>
      </w:pPr>
      <w:rPr>
        <w:rFonts w:ascii="Arial" w:cs="Arial" w:eastAsia="Arial" w:hAnsi="Arial"/>
      </w:rPr>
    </w:lvl>
    <w:lvl w:ilvl="3">
      <w:start w:val="1"/>
      <w:numFmt w:val="bullet"/>
      <w:lvlText w:val="●"/>
      <w:lvlJc w:val="left"/>
      <w:pPr>
        <w:ind w:left="2565" w:firstLine="2205"/>
      </w:pPr>
      <w:rPr>
        <w:rFonts w:ascii="Arial" w:cs="Arial" w:eastAsia="Arial" w:hAnsi="Arial"/>
      </w:rPr>
    </w:lvl>
    <w:lvl w:ilvl="4">
      <w:start w:val="1"/>
      <w:numFmt w:val="bullet"/>
      <w:lvlText w:val="o"/>
      <w:lvlJc w:val="left"/>
      <w:pPr>
        <w:ind w:left="3285" w:firstLine="2925"/>
      </w:pPr>
      <w:rPr>
        <w:rFonts w:ascii="Arial" w:cs="Arial" w:eastAsia="Arial" w:hAnsi="Arial"/>
      </w:rPr>
    </w:lvl>
    <w:lvl w:ilvl="5">
      <w:start w:val="1"/>
      <w:numFmt w:val="bullet"/>
      <w:lvlText w:val="▪"/>
      <w:lvlJc w:val="left"/>
      <w:pPr>
        <w:ind w:left="4005" w:firstLine="3645"/>
      </w:pPr>
      <w:rPr>
        <w:rFonts w:ascii="Arial" w:cs="Arial" w:eastAsia="Arial" w:hAnsi="Arial"/>
      </w:rPr>
    </w:lvl>
    <w:lvl w:ilvl="6">
      <w:start w:val="1"/>
      <w:numFmt w:val="bullet"/>
      <w:lvlText w:val="●"/>
      <w:lvlJc w:val="left"/>
      <w:pPr>
        <w:ind w:left="4725" w:firstLine="4365"/>
      </w:pPr>
      <w:rPr>
        <w:rFonts w:ascii="Arial" w:cs="Arial" w:eastAsia="Arial" w:hAnsi="Arial"/>
      </w:rPr>
    </w:lvl>
    <w:lvl w:ilvl="7">
      <w:start w:val="1"/>
      <w:numFmt w:val="bullet"/>
      <w:lvlText w:val="o"/>
      <w:lvlJc w:val="left"/>
      <w:pPr>
        <w:ind w:left="5445" w:firstLine="5085"/>
      </w:pPr>
      <w:rPr>
        <w:rFonts w:ascii="Arial" w:cs="Arial" w:eastAsia="Arial" w:hAnsi="Arial"/>
      </w:rPr>
    </w:lvl>
    <w:lvl w:ilvl="8">
      <w:start w:val="1"/>
      <w:numFmt w:val="bullet"/>
      <w:lvlText w:val="▪"/>
      <w:lvlJc w:val="left"/>
      <w:pPr>
        <w:ind w:left="6165" w:firstLine="5805"/>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corestandards.org/ELA-Literacy/RST/6-8/8/" TargetMode="External"/><Relationship Id="rId5" Type="http://schemas.openxmlformats.org/officeDocument/2006/relationships/styles" Target="styles.xml"/><Relationship Id="rId6" Type="http://schemas.openxmlformats.org/officeDocument/2006/relationships/hyperlink" Target="https://www.schenectady.k12.ny.us/About_SCSD/Academic/Physical_Education/PhysicalEducation/PE.cooperativegames.k8.pdf" TargetMode="External"/><Relationship Id="rId7" Type="http://schemas.openxmlformats.org/officeDocument/2006/relationships/hyperlink" Target="http://www.corestandards.org/ELA-Literacy/RST/6-8/3/" TargetMode="External"/><Relationship Id="rId8" Type="http://schemas.openxmlformats.org/officeDocument/2006/relationships/hyperlink" Target="http://www.corestandards.org/ELA-Literacy/RST/6-8/7/"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