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r w:rsidDel="00000000" w:rsidR="00000000" w:rsidRPr="00000000">
              <w:rPr>
                <w:rFonts w:ascii="Calibri" w:cs="Calibri" w:eastAsia="Calibri" w:hAnsi="Calibri"/>
                <w:b w:val="1"/>
                <w:i w:val="1"/>
                <w:color w:val="ffffff"/>
                <w:sz w:val="24"/>
                <w:szCs w:val="24"/>
                <w:rtl w:val="0"/>
              </w:rPr>
              <w:t xml:space="preserve">Health Grade 12 Unit 11: Injury Prevention and Treatment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i w:val="1"/>
                <w:sz w:val="22"/>
                <w:szCs w:val="22"/>
              </w:rPr>
            </w:pPr>
            <w:bookmarkStart w:colFirst="0" w:colLast="0" w:name="_gjdgxs" w:id="0"/>
            <w:bookmarkEnd w:id="0"/>
            <w:r w:rsidDel="00000000" w:rsidR="00000000" w:rsidRPr="00000000">
              <w:rPr>
                <w:rFonts w:ascii="Calibri" w:cs="Calibri" w:eastAsia="Calibri" w:hAnsi="Calibri"/>
                <w:b w:val="1"/>
                <w:i w:val="1"/>
                <w:color w:val="ffffff"/>
                <w:sz w:val="22"/>
                <w:szCs w:val="22"/>
                <w:rtl w:val="0"/>
              </w:rPr>
              <w:t xml:space="preserve"> February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2.1 Personal and Mental Health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b w:val="1"/>
                <w:rtl w:val="0"/>
              </w:rPr>
              <w:t xml:space="preserve">Community Health Services and Support</w:t>
            </w:r>
            <w:r w:rsidDel="00000000" w:rsidR="00000000" w:rsidRPr="00000000">
              <w:rPr>
                <w:rtl w:val="0"/>
              </w:rPr>
              <w:t xml:space="preserve">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Healthy individuals demonstrate the ability to identify who, when, where and/or how to seek help for oneself or others. </w:t>
            </w:r>
          </w:p>
          <w:p w:rsidR="00000000" w:rsidDel="00000000" w:rsidP="00000000" w:rsidRDefault="00000000" w:rsidRPr="00000000" w14:paraId="00000011">
            <w:pPr>
              <w:spacing w:line="276" w:lineRule="auto"/>
              <w:rPr/>
            </w:pPr>
            <w:r w:rsidDel="00000000" w:rsidR="00000000" w:rsidRPr="00000000">
              <w:rPr>
                <w:rtl w:val="0"/>
              </w:rPr>
              <w:t xml:space="preserve">• 2.1.12.CHSS.1: Analyze the opportunities available at home, in school, and in the community to support the mental health of oneself or an individual. </w:t>
            </w:r>
          </w:p>
          <w:p w:rsidR="00000000" w:rsidDel="00000000" w:rsidP="00000000" w:rsidRDefault="00000000" w:rsidRPr="00000000" w14:paraId="00000012">
            <w:pPr>
              <w:spacing w:line="276" w:lineRule="auto"/>
              <w:rPr/>
            </w:pPr>
            <w:r w:rsidDel="00000000" w:rsidR="00000000" w:rsidRPr="00000000">
              <w:rPr>
                <w:rtl w:val="0"/>
              </w:rPr>
              <w:t xml:space="preserve">• 2.1.12.CHSS.2: Develop an advocacy plan for a health issue and share this information with others who can benefit. </w:t>
            </w:r>
          </w:p>
          <w:p w:rsidR="00000000" w:rsidDel="00000000" w:rsidP="00000000" w:rsidRDefault="00000000" w:rsidRPr="00000000" w14:paraId="00000013">
            <w:pPr>
              <w:spacing w:line="276" w:lineRule="auto"/>
              <w:rPr/>
            </w:pPr>
            <w:r w:rsidDel="00000000" w:rsidR="00000000" w:rsidRPr="00000000">
              <w:rPr>
                <w:rtl w:val="0"/>
              </w:rPr>
              <w:t xml:space="preserve">• 2.1.12. CHSS.3: Explain the purpose of the Safe Haven Law and identify locations in your community. </w:t>
            </w:r>
          </w:p>
          <w:p w:rsidR="00000000" w:rsidDel="00000000" w:rsidP="00000000" w:rsidRDefault="00000000" w:rsidRPr="00000000" w14:paraId="00000014">
            <w:pPr>
              <w:spacing w:line="276" w:lineRule="auto"/>
              <w:rPr/>
            </w:pPr>
            <w:r w:rsidDel="00000000" w:rsidR="00000000" w:rsidRPr="00000000">
              <w:rPr>
                <w:rtl w:val="0"/>
              </w:rPr>
              <w:t xml:space="preserve">• 2.1.12.CHSS.4: Identify medically accurate sources of information and local services that provide contraceptive methods (including emergency contraception and condoms) and pregnancy options (including parenting, abortion, safe haven, adoption, and prenatal care). </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Affordability and accessibility of health care impacts the prevention, early detection, and treatment of health conditions. </w:t>
            </w:r>
          </w:p>
          <w:p w:rsidR="00000000" w:rsidDel="00000000" w:rsidP="00000000" w:rsidRDefault="00000000" w:rsidRPr="00000000" w14:paraId="00000017">
            <w:pPr>
              <w:spacing w:line="276" w:lineRule="auto"/>
              <w:rPr/>
            </w:pPr>
            <w:r w:rsidDel="00000000" w:rsidR="00000000" w:rsidRPr="00000000">
              <w:rPr>
                <w:rtl w:val="0"/>
              </w:rPr>
              <w:t xml:space="preserve">• 2.1.12.CHSS.5: Analyze a variety of health products and services based on cost, availability, accessibility, benefits and accreditation in the home, school, and in the community (e.g., suicide prevention, breast/testicular self-examination, CPR/AED, life skills training, menstrual products). • 2.1.12.CHSS.6: Evaluate the validity of health information, resources, services, in school, home and in the community. </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Local, state, and global advocacy organizations provide accurate and reliable resources and strategies designed to address common health and social issues. </w:t>
            </w:r>
          </w:p>
          <w:p w:rsidR="00000000" w:rsidDel="00000000" w:rsidP="00000000" w:rsidRDefault="00000000" w:rsidRPr="00000000" w14:paraId="0000001A">
            <w:pPr>
              <w:spacing w:line="276" w:lineRule="auto"/>
              <w:rPr/>
            </w:pPr>
            <w:r w:rsidDel="00000000" w:rsidR="00000000" w:rsidRPr="00000000">
              <w:rPr>
                <w:rtl w:val="0"/>
              </w:rPr>
              <w:t xml:space="preserve">• 2.1.12.CHSS.7: Describe how individuals and local, state, and global advocacy organizations can collaborate to address common local and global health and social issues (e.g., hunger, clean water, organ/tissue donation). </w:t>
            </w:r>
          </w:p>
          <w:p w:rsidR="00000000" w:rsidDel="00000000" w:rsidP="00000000" w:rsidRDefault="00000000" w:rsidRPr="00000000" w14:paraId="0000001B">
            <w:pPr>
              <w:spacing w:line="276" w:lineRule="auto"/>
              <w:rPr/>
            </w:pPr>
            <w:r w:rsidDel="00000000" w:rsidR="00000000" w:rsidRPr="00000000">
              <w:rPr>
                <w:rtl w:val="0"/>
              </w:rPr>
              <w:t xml:space="preserve">• 2.1.12.CHSS.8: Investigate how local, state, and global agencies are addressing health issues caused by climate change and share this information in an appropriate setting.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Knowledge of and access to resources is beneficial in providing support to individuals and families dealing with difficult situations. </w:t>
            </w:r>
          </w:p>
          <w:p w:rsidR="00000000" w:rsidDel="00000000" w:rsidP="00000000" w:rsidRDefault="00000000" w:rsidRPr="00000000" w14:paraId="0000001E">
            <w:pPr>
              <w:spacing w:line="276" w:lineRule="auto"/>
              <w:rPr>
                <w:b w:val="1"/>
              </w:rPr>
            </w:pPr>
            <w:r w:rsidDel="00000000" w:rsidR="00000000" w:rsidRPr="00000000">
              <w:rPr>
                <w:rtl w:val="0"/>
              </w:rPr>
              <w:t xml:space="preserve">2.1.12.CHSS.9: Develop an action plan to assist individuals who have feelings of sadness, anxiety, stress, trauma, or depression and share this information with individuals who will benefit.</w:t>
            </w:r>
            <w:r w:rsidDel="00000000" w:rsidR="00000000" w:rsidRPr="00000000">
              <w:rPr>
                <w:b w:val="1"/>
                <w:rtl w:val="0"/>
              </w:rPr>
              <w:t xml:space="preserve"> </w:t>
            </w:r>
          </w:p>
          <w:p w:rsidR="00000000" w:rsidDel="00000000" w:rsidP="00000000" w:rsidRDefault="00000000" w:rsidRPr="00000000" w14:paraId="0000001F">
            <w:pPr>
              <w:spacing w:line="276" w:lineRule="auto"/>
              <w:rPr>
                <w:b w:val="1"/>
              </w:rPr>
            </w:pPr>
            <w:r w:rsidDel="00000000" w:rsidR="00000000" w:rsidRPr="00000000">
              <w:rPr>
                <w:rtl w:val="0"/>
              </w:rPr>
            </w:r>
          </w:p>
          <w:p w:rsidR="00000000" w:rsidDel="00000000" w:rsidP="00000000" w:rsidRDefault="00000000" w:rsidRPr="00000000" w14:paraId="00000020">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21">
            <w:pPr>
              <w:spacing w:line="276" w:lineRule="auto"/>
              <w:rPr>
                <w:b w:val="1"/>
              </w:rPr>
            </w:pPr>
            <w:r w:rsidDel="00000000" w:rsidR="00000000" w:rsidRPr="00000000">
              <w:rPr>
                <w:b w:val="1"/>
                <w:rtl w:val="0"/>
              </w:rPr>
              <w:t xml:space="preserve">2.3 Safety by the End of Grade 12 </w:t>
            </w:r>
          </w:p>
          <w:p w:rsidR="00000000" w:rsidDel="00000000" w:rsidP="00000000" w:rsidRDefault="00000000" w:rsidRPr="00000000" w14:paraId="00000022">
            <w:pPr>
              <w:spacing w:line="276" w:lineRule="auto"/>
              <w:jc w:val="center"/>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b w:val="1"/>
                <w:rtl w:val="0"/>
              </w:rPr>
              <w:t xml:space="preserve">Personal Safety</w:t>
            </w:r>
            <w:r w:rsidDel="00000000" w:rsidR="00000000" w:rsidRPr="00000000">
              <w:rPr>
                <w:rtl w:val="0"/>
              </w:rPr>
              <w:t xml:space="preserve">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Consideration of the short- and long-term impact of decisions can assist individuals in determining whether a choice is likely to result in healthy or unhealthy consequences. </w:t>
            </w:r>
          </w:p>
          <w:p w:rsidR="00000000" w:rsidDel="00000000" w:rsidP="00000000" w:rsidRDefault="00000000" w:rsidRPr="00000000" w14:paraId="00000026">
            <w:pPr>
              <w:spacing w:line="276" w:lineRule="auto"/>
              <w:rPr/>
            </w:pPr>
            <w:r w:rsidDel="00000000" w:rsidR="00000000" w:rsidRPr="00000000">
              <w:rPr>
                <w:rtl w:val="0"/>
              </w:rPr>
              <w:t xml:space="preserve">• 2.3.12.PS.1: Apply a thoughtful decision-making process to evaluate situations and influences that could lead to healthy or unhealthy consequences (e.g., peers, media). </w:t>
            </w:r>
          </w:p>
          <w:p w:rsidR="00000000" w:rsidDel="00000000" w:rsidP="00000000" w:rsidRDefault="00000000" w:rsidRPr="00000000" w14:paraId="00000027">
            <w:pPr>
              <w:spacing w:line="276" w:lineRule="auto"/>
              <w:rPr>
                <w:b w:val="1"/>
              </w:rPr>
            </w:pPr>
            <w:r w:rsidDel="00000000" w:rsidR="00000000" w:rsidRPr="00000000">
              <w:rPr>
                <w:rtl w:val="0"/>
              </w:rPr>
              <w:t xml:space="preserve">• 2.3.12.PS.4: Investigate the relationship between alcohol, drug use, and motor vehicle crashes and analyze the short- and long-term consequences of these actions. </w:t>
            </w:r>
            <w:r w:rsidDel="00000000" w:rsidR="00000000" w:rsidRPr="00000000">
              <w:rPr>
                <w:rtl w:val="0"/>
              </w:rPr>
            </w:r>
          </w:p>
          <w:p w:rsidR="00000000" w:rsidDel="00000000" w:rsidP="00000000" w:rsidRDefault="00000000" w:rsidRPr="00000000" w14:paraId="00000028">
            <w:pPr>
              <w:spacing w:line="276" w:lineRule="auto"/>
              <w:rPr>
                <w:b w:val="1"/>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b w:val="1"/>
                <w:rtl w:val="0"/>
              </w:rPr>
              <w:t xml:space="preserve">Health Conditions, Diseases and Medicines </w:t>
            </w: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t xml:space="preserve">Health-enhancing behaviors can contribute to an individual reducing and avoiding health risks. </w:t>
            </w:r>
          </w:p>
          <w:p w:rsidR="00000000" w:rsidDel="00000000" w:rsidP="00000000" w:rsidRDefault="00000000" w:rsidRPr="00000000" w14:paraId="0000002C">
            <w:pPr>
              <w:spacing w:line="276" w:lineRule="auto"/>
              <w:rPr/>
            </w:pPr>
            <w:r w:rsidDel="00000000" w:rsidR="00000000" w:rsidRPr="00000000">
              <w:rPr>
                <w:rtl w:val="0"/>
              </w:rPr>
              <w:t xml:space="preserve">• 2.3.12.HCDM.1: Develop a health care plan to help prevent and treat diseases and health conditions one may encounter (e.g., breast/testicular exams, Pap smear, regular STIs testing, HPV vaccine).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Medicines treat or relieve diseases or pain and are prescribed by a physician or accessed over the counter.</w:t>
            </w:r>
          </w:p>
          <w:p w:rsidR="00000000" w:rsidDel="00000000" w:rsidP="00000000" w:rsidRDefault="00000000" w:rsidRPr="00000000" w14:paraId="0000002F">
            <w:pPr>
              <w:spacing w:line="276" w:lineRule="auto"/>
              <w:rPr/>
            </w:pPr>
            <w:r w:rsidDel="00000000" w:rsidR="00000000" w:rsidRPr="00000000">
              <w:rPr>
                <w:rtl w:val="0"/>
              </w:rPr>
              <w:t xml:space="preserve">• 2.3.12.HCDM.2: Provide examples of how drugs and medication mimic or block the action of certain cells in the body, and how abusing drugs can affect the human body. • 2.3.12.HCDM.3: Evaluate the benefits of biomedical approaches to prevent STIs (e.g., hepatitis B vaccine, HPV vaccine) and HIV (e.g., PrEP, PEP). </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Public health policies are created to influence health promotion and disease prevention and can have global impact. </w:t>
            </w:r>
          </w:p>
          <w:p w:rsidR="00000000" w:rsidDel="00000000" w:rsidP="00000000" w:rsidRDefault="00000000" w:rsidRPr="00000000" w14:paraId="00000032">
            <w:pPr>
              <w:spacing w:line="276" w:lineRule="auto"/>
              <w:rPr/>
            </w:pPr>
            <w:r w:rsidDel="00000000" w:rsidR="00000000" w:rsidRPr="00000000">
              <w:rPr>
                <w:rtl w:val="0"/>
              </w:rPr>
              <w:t xml:space="preserve">• 2.3.12.HCDM.4: Evaluate emerging methods to diagnose and treat diseases and health conditions that are common in young adults in the United States and in other countries (e.g., hepatitis, stroke, heart attacks, cancer,). </w:t>
            </w:r>
          </w:p>
          <w:p w:rsidR="00000000" w:rsidDel="00000000" w:rsidP="00000000" w:rsidRDefault="00000000" w:rsidRPr="00000000" w14:paraId="00000033">
            <w:pPr>
              <w:spacing w:line="276" w:lineRule="auto"/>
              <w:rPr/>
            </w:pPr>
            <w:r w:rsidDel="00000000" w:rsidR="00000000" w:rsidRPr="00000000">
              <w:rPr>
                <w:rtl w:val="0"/>
              </w:rPr>
              <w:t xml:space="preserve">• 2.3.12.HCDM.5: Analyze local, state, and international public health efforts to prevent and control diseases and health conditions (e.g., vaccinations, immunizations, medical exams, gene editing, artificial organ systems, prosthesis). </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Mental health conditions affect individuals, family members, and communities. </w:t>
            </w:r>
          </w:p>
          <w:p w:rsidR="00000000" w:rsidDel="00000000" w:rsidP="00000000" w:rsidRDefault="00000000" w:rsidRPr="00000000" w14:paraId="00000036">
            <w:pPr>
              <w:spacing w:line="276" w:lineRule="auto"/>
              <w:rPr/>
            </w:pPr>
            <w:r w:rsidDel="00000000" w:rsidR="00000000" w:rsidRPr="00000000">
              <w:rPr>
                <w:rtl w:val="0"/>
              </w:rPr>
              <w:t xml:space="preserve">• 2.3.12.HCDM.6: Analyze and discuss the evidence of the emotional and social impact of mental health illness on families, communities, and states (e.g., depression, anxiety, Alzheimer’s, panic disorders, eating disorders, impulse disorders). </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tbl>
            <w:tblPr>
              <w:tblStyle w:val="Table2"/>
              <w:tblW w:w="13020.0" w:type="dxa"/>
              <w:jc w:val="left"/>
              <w:tblLayout w:type="fixed"/>
              <w:tblLook w:val="0400"/>
            </w:tblPr>
            <w:tblGrid>
              <w:gridCol w:w="135"/>
              <w:gridCol w:w="12840"/>
              <w:gridCol w:w="45"/>
              <w:tblGridChange w:id="0">
                <w:tblGrid>
                  <w:gridCol w:w="135"/>
                  <w:gridCol w:w="12840"/>
                  <w:gridCol w:w="45"/>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9">
                  <w:pPr>
                    <w:spacing w:after="0" w:line="240" w:lineRule="auto"/>
                    <w:rPr>
                      <w:b w:val="1"/>
                      <w:color w:val="333333"/>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C">
                  <w:pPr>
                    <w:spacing w:after="0" w:line="240" w:lineRule="auto"/>
                    <w:rPr>
                      <w:b w:val="1"/>
                      <w:color w:val="333333"/>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F">
                  <w:pPr>
                    <w:spacing w:after="0" w:line="240" w:lineRule="auto"/>
                    <w:rPr>
                      <w:b w:val="1"/>
                      <w:color w:val="333333"/>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2">
                  <w:pPr>
                    <w:spacing w:after="0" w:line="240" w:lineRule="auto"/>
                    <w:rPr>
                      <w:color w:val="333333"/>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5">
                  <w:pPr>
                    <w:spacing w:after="0" w:line="240" w:lineRule="auto"/>
                    <w:rPr>
                      <w:color w:val="333333"/>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6">
                  <w:pPr>
                    <w:spacing w:after="0" w:line="240" w:lineRule="auto"/>
                    <w:rPr>
                      <w:color w:val="333333"/>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7">
                  <w:pPr>
                    <w:spacing w:after="0" w:line="240" w:lineRule="auto"/>
                    <w:rPr>
                      <w:color w:val="333333"/>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spacing w:after="0" w:line="240" w:lineRule="auto"/>
                    <w:rPr>
                      <w:color w:val="333333"/>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9">
                  <w:pPr>
                    <w:spacing w:after="0" w:line="240" w:lineRule="auto"/>
                    <w:rPr>
                      <w:b w:val="1"/>
                      <w:color w:val="333333"/>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C">
                  <w:pPr>
                    <w:spacing w:after="0" w:line="240" w:lineRule="auto"/>
                    <w:rPr>
                      <w:color w:val="333333"/>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spacing w:after="0" w:line="240" w:lineRule="auto"/>
                    <w:rPr>
                      <w:color w:val="333333"/>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E">
                  <w:pPr>
                    <w:spacing w:after="0" w:line="240" w:lineRule="auto"/>
                    <w:rPr>
                      <w:color w:val="333333"/>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F">
                  <w:pPr>
                    <w:spacing w:after="0" w:line="240" w:lineRule="auto"/>
                    <w:rPr>
                      <w:color w:val="333333"/>
                    </w:rPr>
                  </w:pPr>
                  <w:r w:rsidDel="00000000" w:rsidR="00000000" w:rsidRPr="00000000">
                    <w:rPr>
                      <w:rtl w:val="0"/>
                    </w:rPr>
                  </w:r>
                </w:p>
              </w:tc>
            </w:tr>
          </w:tbl>
          <w:p w:rsidR="00000000" w:rsidDel="00000000" w:rsidP="00000000" w:rsidRDefault="00000000" w:rsidRPr="00000000" w14:paraId="00000050">
            <w:pPr>
              <w:rPr>
                <w:u w:val="single"/>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bl>
            <w:tblPr>
              <w:tblStyle w:val="Table3"/>
              <w:tblW w:w="12960.0" w:type="dxa"/>
              <w:jc w:val="left"/>
              <w:tblLayout w:type="fixed"/>
              <w:tblLook w:val="0400"/>
            </w:tblPr>
            <w:tblGrid>
              <w:gridCol w:w="51"/>
              <w:gridCol w:w="12864"/>
              <w:gridCol w:w="45"/>
              <w:tblGridChange w:id="0">
                <w:tblGrid>
                  <w:gridCol w:w="51"/>
                  <w:gridCol w:w="12864"/>
                  <w:gridCol w:w="45"/>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u w:val="single"/>
                <w:rtl w:val="0"/>
              </w:rPr>
              <w:t xml:space="preserve">Rationale and Transfer Goals: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Students will be able to identify and care for basic injuries.  Use of common materials to immobilize and stabilize injured body parts and controlling bleeding are major parts of helping injured victims.</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difference in wounds and how to care for them.</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Using disposable materials when dealing with wounds.</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apply various forms of splints.</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treat burns.</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Know a fire escape plan in your home</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can you do to make your home safer?</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it important to use disposable gloves and properly dispose of </w:t>
            </w:r>
            <w:r w:rsidDel="00000000" w:rsidR="00000000" w:rsidRPr="00000000">
              <w:rPr>
                <w:rtl w:val="0"/>
              </w:rPr>
              <w:t xml:space="preserve">biohazard</w:t>
            </w:r>
            <w:r w:rsidDel="00000000" w:rsidR="00000000" w:rsidRPr="00000000">
              <w:rPr>
                <w:rFonts w:ascii="Calibri" w:cs="Calibri" w:eastAsia="Calibri" w:hAnsi="Calibri"/>
                <w:b w:val="0"/>
                <w:sz w:val="22"/>
                <w:szCs w:val="22"/>
                <w:rtl w:val="0"/>
              </w:rPr>
              <w:t xml:space="preserve"> materials?</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can splints aid in treating someone?</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can Ice aid in healing injuries?</w:t>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Content</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What students will know</w:t>
            </w:r>
          </w:p>
        </w:tc>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Skills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What students will be able to do</w:t>
            </w:r>
          </w:p>
        </w:tc>
        <w:tc>
          <w:tcPr>
            <w:gridSpan w:val="2"/>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Activities/Strategies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How we teach content and skills</w:t>
            </w:r>
          </w:p>
        </w:tc>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Evidence (Assessments)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evaluate an injury?</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What’s in your first aid kit?</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Soft tissue injuries; cuts-scrapes-bruises</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Burns</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Injuries to muscle-bones-joints.</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Demonstrate how to evaluate injuries.</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Demonstrate how to apply the 4 types of splints.</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Demonstrate proper disposal of gloves and materials.</w:t>
            </w:r>
            <w:r w:rsidDel="00000000" w:rsidR="00000000" w:rsidRPr="00000000">
              <w:rPr>
                <w:rtl w:val="0"/>
              </w:rPr>
            </w:r>
          </w:p>
        </w:tc>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First AID kit; students will list what they would include in a first aid kit and why each item is important.</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Demonstration; applying anatomic, soft, rigid splints and a sling and binder.</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to care for burns</w:t>
            </w:r>
          </w:p>
        </w:tc>
        <w:tc>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Summative: Sample Assessment Item</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be graded on participation in class demonstrations and use of practice time.</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Test and quizzes</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Formative: Written Test</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Students will be given a written test on injuries and treatments.</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u w:val="single"/>
              </w:rPr>
            </w:pPr>
            <w:r w:rsidDel="00000000" w:rsidR="00000000" w:rsidRPr="00000000">
              <w:rPr>
                <w:rFonts w:ascii="Calibri" w:cs="Calibri" w:eastAsia="Calibri" w:hAnsi="Calibri"/>
                <w:b w:val="1"/>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Content or Skill for this Unit</w:t>
            </w:r>
          </w:p>
        </w:tc>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Spiral Focus from Previous Unit</w:t>
            </w:r>
          </w:p>
        </w:tc>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Defining what “emergencies” are.</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Identifying victims</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Communicating signs and symptoms of emergencies and victims</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and when to give proper care</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Value of saving lives</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Team building </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Effective communication</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Cooperative games</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Literacy activities </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Health literacy activities</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Group scenarios </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Manikin demonstrations</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Performance tasks on manikin </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Projects on disease and transmission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F">
            <w:pPr>
              <w:pageBreakBefore w:val="0"/>
              <w:rPr/>
            </w:pPr>
            <w:r w:rsidDel="00000000" w:rsidR="00000000" w:rsidRPr="00000000">
              <w:rPr>
                <w:rtl w:val="0"/>
              </w:rPr>
              <w:t xml:space="preserve">Unit focus on personal health</w:t>
            </w:r>
          </w:p>
          <w:p w:rsidR="00000000" w:rsidDel="00000000" w:rsidP="00000000" w:rsidRDefault="00000000" w:rsidRPr="00000000" w14:paraId="000000D0">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3">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6">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7">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8">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B">
            <w:pPr>
              <w:pageBreakBefore w:val="0"/>
              <w:numPr>
                <w:ilvl w:val="0"/>
                <w:numId w:val="2"/>
              </w:numPr>
              <w:ind w:left="720" w:hanging="360"/>
            </w:pPr>
            <w:r w:rsidDel="00000000" w:rsidR="00000000" w:rsidRPr="00000000">
              <w:rPr>
                <w:rtl w:val="0"/>
              </w:rPr>
              <w:t xml:space="preserve">all aspects of course</w:t>
            </w:r>
          </w:p>
          <w:p w:rsidR="00000000" w:rsidDel="00000000" w:rsidP="00000000" w:rsidRDefault="00000000" w:rsidRPr="00000000" w14:paraId="000000DC">
            <w:pPr>
              <w:pageBreakBefore w:val="0"/>
              <w:ind w:left="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ab/>
            </w: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Red Cross Organization Participant Book.</w:t>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Red Cross DVD; CPR</w:t>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Disposable Gloves</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Gauze Wrap</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Splints</w:t>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First Aid kit</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1">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2">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3">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F4">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F5">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F6">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7">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8">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9">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A">
            <w:pPr>
              <w:pageBreakBefore w:val="0"/>
              <w:numPr>
                <w:ilvl w:val="0"/>
                <w:numId w:val="3"/>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B">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C">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D">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E">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F">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0">
            <w:pPr>
              <w:pageBreakBefore w:val="0"/>
              <w:numPr>
                <w:ilvl w:val="0"/>
                <w:numId w:val="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1">
            <w:pPr>
              <w:pageBreakBefore w:val="0"/>
              <w:numPr>
                <w:ilvl w:val="0"/>
                <w:numId w:val="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2">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3">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4">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5">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6">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7">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8">
            <w:pPr>
              <w:pageBreakBefore w:val="0"/>
              <w:rPr/>
            </w:pPr>
            <w:r w:rsidDel="00000000" w:rsidR="00000000" w:rsidRPr="00000000">
              <w:rPr>
                <w:rtl w:val="0"/>
              </w:rPr>
            </w:r>
          </w:p>
          <w:p w:rsidR="00000000" w:rsidDel="00000000" w:rsidP="00000000" w:rsidRDefault="00000000" w:rsidRPr="00000000" w14:paraId="00000109">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A">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B">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C">
            <w:pPr>
              <w:pageBreakBefore w:val="0"/>
              <w:spacing w:after="80" w:before="40" w:lineRule="auto"/>
              <w:rPr>
                <w:b w:val="1"/>
              </w:rPr>
            </w:pPr>
            <w:r w:rsidDel="00000000" w:rsidR="00000000" w:rsidRPr="00000000">
              <w:rPr>
                <w:rtl w:val="0"/>
              </w:rPr>
            </w:r>
          </w:p>
          <w:p w:rsidR="00000000" w:rsidDel="00000000" w:rsidP="00000000" w:rsidRDefault="00000000" w:rsidRPr="00000000" w14:paraId="0000010D">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E">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F">
            <w:pPr>
              <w:pageBreakBefore w:val="0"/>
              <w:numPr>
                <w:ilvl w:val="0"/>
                <w:numId w:val="4"/>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tl w:val="0"/>
              </w:rPr>
            </w:r>
          </w:p>
        </w:tc>
      </w:tr>
    </w:tbl>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jc w:val="center"/>
        <w:rPr>
          <w:u w:val="single"/>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u w:val="single"/>
      </w:rPr>
    </w:pPr>
    <w:r w:rsidDel="00000000" w:rsidR="00000000" w:rsidRPr="00000000">
      <w:rPr>
        <w:rFonts w:ascii="Calibri" w:cs="Calibri" w:eastAsia="Calibri" w:hAnsi="Calibri"/>
        <w:b w:val="0"/>
        <w:sz w:val="22"/>
        <w:szCs w:val="22"/>
        <w:u w:val="singl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