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Health Grade 12 Unit 10: Poisoning and illness</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January – February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0D">
            <w:pPr>
              <w:spacing w:line="276" w:lineRule="auto"/>
              <w:jc w:val="center"/>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11">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12">
            <w:pPr>
              <w:spacing w:line="276" w:lineRule="auto"/>
              <w:rPr/>
            </w:pPr>
            <w:r w:rsidDel="00000000" w:rsidR="00000000" w:rsidRPr="00000000">
              <w:rPr>
                <w:rtl w:val="0"/>
              </w:rPr>
              <w:t xml:space="preserve">• 2.3.12.PS.4: Investigate the relationship between alcohol, drug use, and motor vehicle crashes and analyze the short- and long-term consequences of these actions.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Medicines treat or relieve diseases or pain and are prescribed by a physician or accessed over the counter.</w:t>
            </w:r>
          </w:p>
          <w:p w:rsidR="00000000" w:rsidDel="00000000" w:rsidP="00000000" w:rsidRDefault="00000000" w:rsidRPr="00000000" w14:paraId="00000017">
            <w:pPr>
              <w:spacing w:line="276" w:lineRule="auto"/>
              <w:rPr/>
            </w:pPr>
            <w:r w:rsidDel="00000000" w:rsidR="00000000" w:rsidRPr="00000000">
              <w:rPr>
                <w:rtl w:val="0"/>
              </w:rPr>
              <w:t xml:space="preserve">• 2.3.12.HCDM.2: Provide examples of how drugs and medication mimic or block the action of certain cells in the body, and how abusing drugs can affect the human body. </w:t>
            </w:r>
          </w:p>
          <w:p w:rsidR="00000000" w:rsidDel="00000000" w:rsidP="00000000" w:rsidRDefault="00000000" w:rsidRPr="00000000" w14:paraId="00000018">
            <w:pPr>
              <w:spacing w:line="276" w:lineRule="auto"/>
              <w:rPr/>
            </w:pPr>
            <w:r w:rsidDel="00000000" w:rsidR="00000000" w:rsidRPr="00000000">
              <w:rPr>
                <w:rtl w:val="0"/>
              </w:rPr>
              <w:t xml:space="preserve">• 2.3.12.HCDM.3: Evaluate the benefits of biomedical approaches to prevent STIs (e.g., hepatitis B vaccine, HPV vaccine) and HIV (e.g., PrEP, PEP). </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Public health policies are created to influence health promotion and disease prevention and can have global impact. </w:t>
            </w:r>
          </w:p>
          <w:p w:rsidR="00000000" w:rsidDel="00000000" w:rsidP="00000000" w:rsidRDefault="00000000" w:rsidRPr="00000000" w14:paraId="0000001B">
            <w:pPr>
              <w:spacing w:line="276" w:lineRule="auto"/>
              <w:rPr/>
            </w:pPr>
            <w:r w:rsidDel="00000000" w:rsidR="00000000" w:rsidRPr="00000000">
              <w:rPr>
                <w:rtl w:val="0"/>
              </w:rPr>
              <w:t xml:space="preserve">• 2.3.12.HCDM.4: Evaluate emerging methods to diagnose and treat diseases and health conditions that are common in young adults in the United States and in other countries (e.g., hepatitis, stroke, heart attacks, cancer,). </w:t>
            </w:r>
          </w:p>
          <w:p w:rsidR="00000000" w:rsidDel="00000000" w:rsidP="00000000" w:rsidRDefault="00000000" w:rsidRPr="00000000" w14:paraId="0000001C">
            <w:pPr>
              <w:spacing w:line="276" w:lineRule="auto"/>
              <w:rPr/>
            </w:pPr>
            <w:r w:rsidDel="00000000" w:rsidR="00000000" w:rsidRPr="00000000">
              <w:rPr>
                <w:rtl w:val="0"/>
              </w:rPr>
              <w:t xml:space="preserve">• 2.3.12.HCDM.5: Analyze local, state, and international public health efforts to prevent and control diseases and health conditions (e.g., vaccinations, immunizations, medical exams, gene editing, artificial organ systems, prosthesis). </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Mental health conditions affect individuals, family members, and communities. </w:t>
            </w:r>
          </w:p>
          <w:p w:rsidR="00000000" w:rsidDel="00000000" w:rsidP="00000000" w:rsidRDefault="00000000" w:rsidRPr="00000000" w14:paraId="0000001F">
            <w:pPr>
              <w:spacing w:line="276" w:lineRule="auto"/>
              <w:rPr/>
            </w:pPr>
            <w:r w:rsidDel="00000000" w:rsidR="00000000" w:rsidRPr="00000000">
              <w:rPr>
                <w:rtl w:val="0"/>
              </w:rPr>
              <w:t xml:space="preserve">• 2.3.12.HCDM.6: Analyze and discuss the evidence of the emotional and social impact of mental health illness on families, communities, and states (e.g., depression, anxiety, Alzheimer’s, panic disorders, eating disorders, impulse disorders).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b w:val="1"/>
                <w:rtl w:val="0"/>
              </w:rPr>
              <w:t xml:space="preserve">Alcohol, Tobacco and other Drugs</w:t>
            </w:r>
            <w:r w:rsidDel="00000000" w:rsidR="00000000" w:rsidRPr="00000000">
              <w:rPr>
                <w:rtl w:val="0"/>
              </w:rPr>
              <w:t xml:space="preserve"> </w:t>
            </w:r>
          </w:p>
          <w:p w:rsidR="00000000" w:rsidDel="00000000" w:rsidP="00000000" w:rsidRDefault="00000000" w:rsidRPr="00000000" w14:paraId="00000022">
            <w:pPr>
              <w:spacing w:line="276" w:lineRule="auto"/>
              <w:rPr/>
            </w:pPr>
            <w:r w:rsidDel="00000000" w:rsidR="00000000" w:rsidRPr="00000000">
              <w:rPr>
                <w:rtl w:val="0"/>
              </w:rPr>
              <w:t xml:space="preserve">Long-term and short-term consequences of risky behavior associated with substance use and abuse can be damaging physically, emotionally, socially, and financially to oneself, family members and others. </w:t>
            </w:r>
          </w:p>
          <w:p w:rsidR="00000000" w:rsidDel="00000000" w:rsidP="00000000" w:rsidRDefault="00000000" w:rsidRPr="00000000" w14:paraId="00000023">
            <w:pPr>
              <w:spacing w:line="276" w:lineRule="auto"/>
              <w:rPr/>
            </w:pPr>
            <w:r w:rsidDel="00000000" w:rsidR="00000000" w:rsidRPr="00000000">
              <w:rPr>
                <w:rtl w:val="0"/>
              </w:rPr>
              <w:t xml:space="preserve">• 2.3.12.ATD.1: Examine the influences of drug use and misuse on an individual’s social, emotional and mental wellness. </w:t>
            </w:r>
          </w:p>
          <w:p w:rsidR="00000000" w:rsidDel="00000000" w:rsidP="00000000" w:rsidRDefault="00000000" w:rsidRPr="00000000" w14:paraId="00000024">
            <w:pPr>
              <w:spacing w:line="276" w:lineRule="auto"/>
              <w:rPr/>
            </w:pPr>
            <w:r w:rsidDel="00000000" w:rsidR="00000000" w:rsidRPr="00000000">
              <w:rPr>
                <w:rtl w:val="0"/>
              </w:rPr>
              <w:t xml:space="preserve">• 2.3.12.ATD.2: Compare and contrast the incidence and impact of commonly abused substances on individuals and communities in the United States and other countries (e.g., tobacco, e-cigarettes, vaping products, alcohol, marijuana products, inhalants, anabolic steroids, other drugs). </w:t>
            </w:r>
          </w:p>
          <w:p w:rsidR="00000000" w:rsidDel="00000000" w:rsidP="00000000" w:rsidRDefault="00000000" w:rsidRPr="00000000" w14:paraId="00000025">
            <w:pPr>
              <w:spacing w:line="276" w:lineRule="auto"/>
              <w:rPr/>
            </w:pPr>
            <w:r w:rsidDel="00000000" w:rsidR="00000000" w:rsidRPr="00000000">
              <w:rPr>
                <w:rtl w:val="0"/>
              </w:rPr>
              <w:t xml:space="preserve">• 2.3.12.ATD.3: Explore the relationship between individuals who abuse alcohol, tobacco, and other drugs with an increase in intentional and unintentional health-risk behaviors. </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b w:val="1"/>
              </w:rPr>
            </w:pPr>
            <w:r w:rsidDel="00000000" w:rsidR="00000000" w:rsidRPr="00000000">
              <w:rPr>
                <w:b w:val="1"/>
                <w:rtl w:val="0"/>
              </w:rPr>
              <w:t xml:space="preserve">Dependency, Substances Disorder and Treatment </w:t>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Alcohol and drug dependency can impact the social, emotional, and financial well-being of individuals, families, and communities. </w:t>
            </w:r>
          </w:p>
          <w:p w:rsidR="00000000" w:rsidDel="00000000" w:rsidP="00000000" w:rsidRDefault="00000000" w:rsidRPr="00000000" w14:paraId="0000002A">
            <w:pPr>
              <w:spacing w:line="276" w:lineRule="auto"/>
              <w:rPr/>
            </w:pPr>
            <w:r w:rsidDel="00000000" w:rsidR="00000000" w:rsidRPr="00000000">
              <w:rPr>
                <w:rtl w:val="0"/>
              </w:rPr>
              <w:t xml:space="preserve">• 2.3.12.DSDT.1: Correlate duration of drug use and abuse to the incidence of drug-related deaths, injuries, illness, and academic performance. </w:t>
            </w:r>
          </w:p>
          <w:p w:rsidR="00000000" w:rsidDel="00000000" w:rsidP="00000000" w:rsidRDefault="00000000" w:rsidRPr="00000000" w14:paraId="0000002B">
            <w:pPr>
              <w:spacing w:line="276" w:lineRule="auto"/>
              <w:rPr/>
            </w:pPr>
            <w:r w:rsidDel="00000000" w:rsidR="00000000" w:rsidRPr="00000000">
              <w:rPr>
                <w:rtl w:val="0"/>
              </w:rPr>
              <w:t xml:space="preserve">• 2.3.12.DSDT.2: Analyze personal choices and behaviors related to substance use and misuse to determine if they align with personal values and beliefs. </w:t>
            </w:r>
          </w:p>
          <w:p w:rsidR="00000000" w:rsidDel="00000000" w:rsidP="00000000" w:rsidRDefault="00000000" w:rsidRPr="00000000" w14:paraId="0000002C">
            <w:pPr>
              <w:spacing w:line="276" w:lineRule="auto"/>
              <w:rPr/>
            </w:pPr>
            <w:r w:rsidDel="00000000" w:rsidR="00000000" w:rsidRPr="00000000">
              <w:rPr>
                <w:rtl w:val="0"/>
              </w:rPr>
              <w:t xml:space="preserve">• 2.3.12.DSDT.3: Examine the drug laws, and regulations of the State of New Jersey, other states and the affects; healthy and unhealthy on individuals, families, schools, and communities (e.g., vaping products, e-cigarettes, cannabis and CBD products, opioids). </w:t>
            </w:r>
          </w:p>
          <w:p w:rsidR="00000000" w:rsidDel="00000000" w:rsidP="00000000" w:rsidRDefault="00000000" w:rsidRPr="00000000" w14:paraId="0000002D">
            <w:pPr>
              <w:spacing w:line="276" w:lineRule="auto"/>
              <w:rPr/>
            </w:pPr>
            <w:r w:rsidDel="00000000" w:rsidR="00000000" w:rsidRPr="00000000">
              <w:rPr>
                <w:rtl w:val="0"/>
              </w:rPr>
              <w:t xml:space="preserve">• 2.3.12.DSDT.4: Utilize peer support and societal norms to formulate a health-enhancing message to remain drug free. </w:t>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t xml:space="preserve">Substance abuse, dependency, and substance disorder treatment facilities and treatment methods require long-term or repeated care for recovery. </w:t>
            </w:r>
          </w:p>
          <w:p w:rsidR="00000000" w:rsidDel="00000000" w:rsidP="00000000" w:rsidRDefault="00000000" w:rsidRPr="00000000" w14:paraId="00000030">
            <w:pPr>
              <w:spacing w:line="276" w:lineRule="auto"/>
              <w:rPr>
                <w:u w:val="single"/>
              </w:rPr>
            </w:pPr>
            <w:r w:rsidDel="00000000" w:rsidR="00000000" w:rsidRPr="00000000">
              <w:rPr>
                <w:rtl w:val="0"/>
              </w:rPr>
              <w:t xml:space="preserve">• 2.3.12.DSDT.5: Evaluate the effectiveness of various strategies and skills that support an individual’s ability to stop misusing and abusing drugs and remain drug free (counseling, peer coaching, professional peer support group, and family counseling and support).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bl>
            <w:tblPr>
              <w:tblStyle w:val="Table2"/>
              <w:tblW w:w="13020.0" w:type="dxa"/>
              <w:jc w:val="left"/>
              <w:tblLayout w:type="fixed"/>
              <w:tblLook w:val="0400"/>
            </w:tblPr>
            <w:tblGrid>
              <w:gridCol w:w="105"/>
              <w:gridCol w:w="12870"/>
              <w:gridCol w:w="45"/>
              <w:tblGridChange w:id="0">
                <w:tblGrid>
                  <w:gridCol w:w="105"/>
                  <w:gridCol w:w="12870"/>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2">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5">
                  <w:pPr>
                    <w:spacing w:after="0" w:line="240" w:lineRule="auto"/>
                    <w:rPr>
                      <w:b w:val="1"/>
                      <w:color w:val="333333"/>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38">
                  <w:pPr>
                    <w:spacing w:after="0" w:line="240" w:lineRule="auto"/>
                    <w:rPr>
                      <w:b w:val="1"/>
                      <w:color w:val="333333"/>
                      <w:u w:val="single"/>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B">
                  <w:pPr>
                    <w:spacing w:after="0" w:line="240" w:lineRule="auto"/>
                    <w:rPr>
                      <w:color w:val="333333"/>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3E">
                  <w:pPr>
                    <w:spacing w:after="0" w:line="240" w:lineRule="auto"/>
                    <w:rPr>
                      <w:color w:val="333333"/>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3F">
                  <w:pPr>
                    <w:spacing w:after="0" w:line="240" w:lineRule="auto"/>
                    <w:rPr>
                      <w:color w:val="333333"/>
                    </w:rPr>
                  </w:pPr>
                  <w:r w:rsidDel="00000000" w:rsidR="00000000" w:rsidRPr="00000000">
                    <w:rPr>
                      <w:rtl w:val="0"/>
                    </w:rPr>
                  </w:r>
                </w:p>
              </w:tc>
            </w:tr>
          </w:tbl>
          <w:p w:rsidR="00000000" w:rsidDel="00000000" w:rsidP="00000000" w:rsidRDefault="00000000" w:rsidRPr="00000000" w14:paraId="00000040">
            <w:pPr>
              <w:rPr>
                <w:u w:val="single"/>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3"/>
              <w:tblW w:w="12960.0" w:type="dxa"/>
              <w:jc w:val="left"/>
              <w:tblLayout w:type="fixed"/>
              <w:tblLook w:val="0400"/>
            </w:tblPr>
            <w:tblGrid>
              <w:gridCol w:w="51"/>
              <w:gridCol w:w="12864"/>
              <w:gridCol w:w="45"/>
              <w:tblGridChange w:id="0">
                <w:tblGrid>
                  <w:gridCol w:w="51"/>
                  <w:gridCol w:w="12864"/>
                  <w:gridCol w:w="45"/>
                </w:tblGrid>
              </w:tblGridChange>
            </w:tblGrid>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This unit will expose students to common allergies that could be deadly.  These types of injuries could happen to anyone so it is important to know what the signs are and how to care for the person with symptoms.</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Know heat vs. cold related illness.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Signs of heat stroke</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Special considerations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it important to monitor yourself and others in extreme weather?</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minor animal bites become dangerous?</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we prevent heat stroke?</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can we help someone that speaks another language?</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t>
              <w:tab/>
              <w:t xml:space="preserve">Sudden Illness</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t>
              <w:tab/>
              <w:t xml:space="preserve">Poisoning; inhaled-absorbed-swallowed</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t>
              <w:tab/>
              <w:t xml:space="preserve">Heat related illness</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t>
              <w:tab/>
              <w:t xml:space="preserve">Cold related illness</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t>
              <w:tab/>
              <w:t xml:space="preserve">Asthma</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t>
              <w:tab/>
              <w:t xml:space="preserve">Anaphylaxis</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Demonstrate proper care for poisoned victims.</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Demonstrate care for heat/cold related injuries.</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Use of an epinephrine auto-injector</w:t>
            </w:r>
            <w:r w:rsidDel="00000000" w:rsidR="00000000" w:rsidRPr="00000000">
              <w:rPr>
                <w:rtl w:val="0"/>
              </w:rPr>
            </w:r>
          </w:p>
        </w:tc>
        <w:tc>
          <w:tcPr>
            <w:gridSpan w:val="2"/>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Video on types of poisons.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R.I.C.E. Demonstration</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Packet on weather related injuries</w:t>
            </w:r>
          </w:p>
        </w:tc>
        <w:tc>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Dramatization</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on participating in class demonstrations and scenarios acting out care.</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6 Standards Assessed</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Test and quizzes</w:t>
            </w: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Formative: Written Test</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given quizzes and tests to show knowledge of step for checking injuries, and how to care for them.</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6 Standards Assessed</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or Skill for this Unit</w:t>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Spiral Focus from Previous Unit</w:t>
            </w:r>
          </w:p>
        </w:tc>
        <w:tc>
          <w:tcPr>
            <w:gridSpan w:val="2"/>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Defining what “emergencies” are.</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Identifying victims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Communicating signs and symptoms of emergencies and victims</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and when to give proper care</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Value of saving lives</w:t>
            </w:r>
            <w:r w:rsidDel="00000000" w:rsidR="00000000" w:rsidRPr="00000000">
              <w:rPr>
                <w:rtl w:val="0"/>
              </w:rPr>
            </w:r>
          </w:p>
        </w:tc>
        <w:tc>
          <w:tcPr>
            <w:gridSpan w:val="2"/>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Team building </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Effective communication</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Cooperative games</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Health literacy activities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Manikin demonstrations</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Performance tasks on manikin </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Projects on disease and transmission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C0">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1">
            <w:pPr>
              <w:pageBreakBefore w:val="0"/>
              <w:rPr/>
            </w:pPr>
            <w:r w:rsidDel="00000000" w:rsidR="00000000" w:rsidRPr="00000000">
              <w:rPr>
                <w:rtl w:val="0"/>
              </w:rPr>
              <w:t xml:space="preserve">Unit focus on personal health</w:t>
            </w:r>
          </w:p>
          <w:p w:rsidR="00000000" w:rsidDel="00000000" w:rsidP="00000000" w:rsidRDefault="00000000" w:rsidRPr="00000000" w14:paraId="000000C2">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5">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8">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9">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A">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CD">
            <w:pPr>
              <w:pageBreakBefore w:val="0"/>
              <w:numPr>
                <w:ilvl w:val="0"/>
                <w:numId w:val="2"/>
              </w:numPr>
              <w:ind w:left="720" w:hanging="360"/>
            </w:pPr>
            <w:r w:rsidDel="00000000" w:rsidR="00000000" w:rsidRPr="00000000">
              <w:rPr>
                <w:rtl w:val="0"/>
              </w:rPr>
              <w:t xml:space="preserve">all aspects of course</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Key resources:</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ab/>
            </w: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Red Cross Organization Participant Book.</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Red Cross DVD; CPR</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Disposable Gloves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Ice Packs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First AID kit</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2">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3">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4">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E5">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E6">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E7">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E8">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E9">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A">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B">
            <w:pPr>
              <w:pageBreakBefore w:val="0"/>
              <w:numPr>
                <w:ilvl w:val="0"/>
                <w:numId w:val="4"/>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C">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D">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E">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F">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0">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1">
            <w:pPr>
              <w:pageBreakBefore w:val="0"/>
              <w:numPr>
                <w:ilvl w:val="0"/>
                <w:numId w:val="3"/>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F2">
            <w:pPr>
              <w:pageBreakBefore w:val="0"/>
              <w:numPr>
                <w:ilvl w:val="0"/>
                <w:numId w:val="3"/>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F3">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4">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F5">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F6">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8">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B">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C">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D">
            <w:pPr>
              <w:pageBreakBefore w:val="0"/>
              <w:spacing w:after="80" w:before="40" w:lineRule="auto"/>
              <w:rPr>
                <w:b w:val="1"/>
              </w:rPr>
            </w:pPr>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F">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0">
            <w:pPr>
              <w:pageBreakBefore w:val="0"/>
              <w:numPr>
                <w:ilvl w:val="0"/>
                <w:numId w:val="1"/>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r>
    </w:tbl>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