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gjdgxs" w:id="0"/>
            <w:bookmarkEnd w:id="0"/>
            <w:r w:rsidDel="00000000" w:rsidR="00000000" w:rsidRPr="00000000">
              <w:rPr>
                <w:b w:val="1"/>
                <w:i w:val="1"/>
                <w:color w:val="ffffff"/>
                <w:sz w:val="24"/>
                <w:szCs w:val="24"/>
                <w:rtl w:val="0"/>
              </w:rPr>
              <w:t xml:space="preserve">Physical Education Grade 12 Unit 1: General Fitness (Presidential Fitness Challenge)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September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rHeight w:val="390" w:hRule="atLeast"/>
                <w:tblHeader w:val="0"/>
              </w:trPr>
              <w:tc>
                <w:tcPr>
                  <w:gridSpan w:val="3"/>
                  <w:tcMar>
                    <w:top w:w="75.0" w:type="dxa"/>
                    <w:left w:w="0.0" w:type="dxa"/>
                    <w:bottom w:w="75.0" w:type="dxa"/>
                    <w:right w:w="0.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rationale for the President's Physical Fitness Challenge unit is to provide the students with the information they need to realize what is necessary for them to be physically fit individuals.  Through the reviewable of the results of others throughout the nation, they will be able to compare their performance to see which areas they excel in and which areas they need to improve upon.</w:t>
            </w:r>
          </w:p>
        </w:tc>
      </w:tr>
      <w:tr>
        <w:trPr>
          <w:cantSplit w:val="0"/>
          <w:trHeight w:val="900" w:hRule="atLeast"/>
          <w:tblHeader w:val="0"/>
        </w:trPr>
        <w:tc>
          <w:tcPr>
            <w:gridSpan w:val="6"/>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understand that physical fitness is a key factor to living and healthy and successful life.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6B">
            <w:pPr>
              <w:pageBreakBefore w:val="0"/>
              <w:numPr>
                <w:ilvl w:val="0"/>
                <w:numId w:val="5"/>
              </w:numPr>
              <w:pBdr>
                <w:top w:space="0" w:sz="0" w:val="nil"/>
                <w:left w:space="0" w:sz="0" w:val="nil"/>
                <w:bottom w:space="0" w:sz="0" w:val="nil"/>
                <w:right w:space="0" w:sz="0" w:val="nil"/>
                <w:between w:space="0" w:sz="0" w:val="nil"/>
              </w:pBdr>
              <w:shd w:fill="auto" w:val="clear"/>
              <w:spacing w:after="0" w:before="280" w:lineRule="auto"/>
              <w:ind w:left="720" w:hanging="360"/>
              <w:rPr/>
            </w:pPr>
            <w:r w:rsidDel="00000000" w:rsidR="00000000" w:rsidRPr="00000000">
              <w:rPr>
                <w:rtl w:val="0"/>
              </w:rPr>
              <w:t xml:space="preserve">What are the components of physical fitness?  </w:t>
            </w:r>
          </w:p>
          <w:p w:rsidR="00000000" w:rsidDel="00000000" w:rsidP="00000000" w:rsidRDefault="00000000" w:rsidRPr="00000000" w14:paraId="0000006C">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Why is it necessary to be successful in each component to be considered physically fit?  </w:t>
            </w:r>
          </w:p>
          <w:p w:rsidR="00000000" w:rsidDel="00000000" w:rsidP="00000000" w:rsidRDefault="00000000" w:rsidRPr="00000000" w14:paraId="0000006D">
            <w:pPr>
              <w:pageBreakBefore w:val="0"/>
              <w:numPr>
                <w:ilvl w:val="0"/>
                <w:numId w:val="5"/>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rtl w:val="0"/>
              </w:rPr>
              <w:t xml:space="preserve">How does being physically fit contribute to life outside of physical activity?</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100" w:before="0" w:lineRule="auto"/>
              <w:ind w:left="720" w:firstLine="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4">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Aerobic Capacity</w:t>
            </w:r>
            <w:r w:rsidDel="00000000" w:rsidR="00000000" w:rsidRPr="00000000">
              <w:rPr>
                <w:rtl w:val="0"/>
              </w:rPr>
            </w:r>
          </w:p>
          <w:p w:rsidR="00000000" w:rsidDel="00000000" w:rsidP="00000000" w:rsidRDefault="00000000" w:rsidRPr="00000000" w14:paraId="00000085">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Muscular Strength</w:t>
            </w:r>
            <w:r w:rsidDel="00000000" w:rsidR="00000000" w:rsidRPr="00000000">
              <w:rPr>
                <w:rtl w:val="0"/>
              </w:rPr>
            </w:r>
          </w:p>
          <w:p w:rsidR="00000000" w:rsidDel="00000000" w:rsidP="00000000" w:rsidRDefault="00000000" w:rsidRPr="00000000" w14:paraId="00000086">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Muscular Endurance</w:t>
            </w:r>
            <w:r w:rsidDel="00000000" w:rsidR="00000000" w:rsidRPr="00000000">
              <w:rPr>
                <w:rtl w:val="0"/>
              </w:rPr>
            </w:r>
          </w:p>
          <w:p w:rsidR="00000000" w:rsidDel="00000000" w:rsidP="00000000" w:rsidRDefault="00000000" w:rsidRPr="00000000" w14:paraId="00000087">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Flexibility</w:t>
            </w:r>
            <w:r w:rsidDel="00000000" w:rsidR="00000000" w:rsidRPr="00000000">
              <w:rPr>
                <w:rtl w:val="0"/>
              </w:rPr>
            </w:r>
          </w:p>
          <w:p w:rsidR="00000000" w:rsidDel="00000000" w:rsidP="00000000" w:rsidRDefault="00000000" w:rsidRPr="00000000" w14:paraId="00000088">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Body Composition</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0">
            <w:pPr>
              <w:pageBreakBefore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Curl-Ups</w:t>
            </w:r>
            <w:r w:rsidDel="00000000" w:rsidR="00000000" w:rsidRPr="00000000">
              <w:rPr>
                <w:rtl w:val="0"/>
              </w:rPr>
            </w:r>
          </w:p>
          <w:p w:rsidR="00000000" w:rsidDel="00000000" w:rsidP="00000000" w:rsidRDefault="00000000" w:rsidRPr="00000000" w14:paraId="00000091">
            <w:pPr>
              <w:pageBreakBefore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Partial Curl-Ups</w:t>
            </w:r>
            <w:r w:rsidDel="00000000" w:rsidR="00000000" w:rsidRPr="00000000">
              <w:rPr>
                <w:rtl w:val="0"/>
              </w:rPr>
            </w:r>
          </w:p>
          <w:p w:rsidR="00000000" w:rsidDel="00000000" w:rsidP="00000000" w:rsidRDefault="00000000" w:rsidRPr="00000000" w14:paraId="00000092">
            <w:pPr>
              <w:pageBreakBefore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Endurance Run/Walk</w:t>
            </w:r>
            <w:r w:rsidDel="00000000" w:rsidR="00000000" w:rsidRPr="00000000">
              <w:rPr>
                <w:rtl w:val="0"/>
              </w:rPr>
            </w:r>
          </w:p>
          <w:p w:rsidR="00000000" w:rsidDel="00000000" w:rsidP="00000000" w:rsidRDefault="00000000" w:rsidRPr="00000000" w14:paraId="00000093">
            <w:pPr>
              <w:pageBreakBefore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Pull-Ups</w:t>
            </w:r>
            <w:r w:rsidDel="00000000" w:rsidR="00000000" w:rsidRPr="00000000">
              <w:rPr>
                <w:rtl w:val="0"/>
              </w:rPr>
            </w:r>
          </w:p>
          <w:p w:rsidR="00000000" w:rsidDel="00000000" w:rsidP="00000000" w:rsidRDefault="00000000" w:rsidRPr="00000000" w14:paraId="00000094">
            <w:pPr>
              <w:pageBreakBefore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Push-Ups</w:t>
            </w:r>
            <w:r w:rsidDel="00000000" w:rsidR="00000000" w:rsidRPr="00000000">
              <w:rPr>
                <w:rtl w:val="0"/>
              </w:rPr>
            </w:r>
          </w:p>
          <w:p w:rsidR="00000000" w:rsidDel="00000000" w:rsidP="00000000" w:rsidRDefault="00000000" w:rsidRPr="00000000" w14:paraId="00000095">
            <w:pPr>
              <w:pageBreakBefore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Shuttle Run</w:t>
            </w:r>
            <w:r w:rsidDel="00000000" w:rsidR="00000000" w:rsidRPr="00000000">
              <w:rPr>
                <w:rtl w:val="0"/>
              </w:rPr>
            </w:r>
          </w:p>
          <w:p w:rsidR="00000000" w:rsidDel="00000000" w:rsidP="00000000" w:rsidRDefault="00000000" w:rsidRPr="00000000" w14:paraId="00000096">
            <w:pPr>
              <w:pageBreakBefore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Sit and Reach</w:t>
            </w:r>
            <w:r w:rsidDel="00000000" w:rsidR="00000000" w:rsidRPr="00000000">
              <w:rPr>
                <w:rtl w:val="0"/>
              </w:rPr>
            </w:r>
          </w:p>
          <w:p w:rsidR="00000000" w:rsidDel="00000000" w:rsidP="00000000" w:rsidRDefault="00000000" w:rsidRPr="00000000" w14:paraId="00000097">
            <w:pPr>
              <w:pageBreakBefore w:val="0"/>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V-Sit and Reach</w:t>
            </w:r>
            <w:r w:rsidDel="00000000" w:rsidR="00000000" w:rsidRPr="00000000">
              <w:rPr>
                <w:rtl w:val="0"/>
              </w:rPr>
            </w:r>
          </w:p>
        </w:tc>
        <w:tc>
          <w:tcPr>
            <w:gridSpan w:val="2"/>
          </w:tcPr>
          <w:p w:rsidR="00000000" w:rsidDel="00000000" w:rsidP="00000000" w:rsidRDefault="00000000" w:rsidRPr="00000000" w14:paraId="00000099">
            <w:pPr>
              <w:pageBreakBefore w:val="0"/>
              <w:numPr>
                <w:ilvl w:val="0"/>
                <w:numId w:val="14"/>
              </w:numPr>
              <w:pBdr>
                <w:top w:space="0" w:sz="0" w:val="nil"/>
                <w:left w:space="0" w:sz="0" w:val="nil"/>
                <w:bottom w:space="0" w:sz="0" w:val="nil"/>
                <w:right w:space="0" w:sz="0" w:val="nil"/>
                <w:between w:space="0" w:sz="0" w:val="nil"/>
              </w:pBdr>
              <w:shd w:fill="auto" w:val="clear"/>
              <w:spacing w:after="0" w:before="100" w:lineRule="auto"/>
              <w:ind w:left="720" w:hanging="360"/>
              <w:rPr>
                <w:color w:val="333333"/>
              </w:rPr>
            </w:pPr>
            <w:r w:rsidDel="00000000" w:rsidR="00000000" w:rsidRPr="00000000">
              <w:rPr>
                <w:color w:val="333333"/>
                <w:rtl w:val="0"/>
              </w:rPr>
              <w:t xml:space="preserve">neck stretch</w:t>
            </w:r>
          </w:p>
          <w:p w:rsidR="00000000" w:rsidDel="00000000" w:rsidP="00000000" w:rsidRDefault="00000000" w:rsidRPr="00000000" w14:paraId="0000009A">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reach to sky</w:t>
            </w:r>
          </w:p>
          <w:p w:rsidR="00000000" w:rsidDel="00000000" w:rsidP="00000000" w:rsidRDefault="00000000" w:rsidRPr="00000000" w14:paraId="0000009B">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reach back</w:t>
            </w:r>
          </w:p>
          <w:p w:rsidR="00000000" w:rsidDel="00000000" w:rsidP="00000000" w:rsidRDefault="00000000" w:rsidRPr="00000000" w14:paraId="0000009C">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arm circles</w:t>
            </w:r>
          </w:p>
          <w:p w:rsidR="00000000" w:rsidDel="00000000" w:rsidP="00000000" w:rsidRDefault="00000000" w:rsidRPr="00000000" w14:paraId="0000009D">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twister</w:t>
            </w:r>
          </w:p>
          <w:p w:rsidR="00000000" w:rsidDel="00000000" w:rsidP="00000000" w:rsidRDefault="00000000" w:rsidRPr="00000000" w14:paraId="0000009E">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toe touch</w:t>
            </w:r>
          </w:p>
          <w:p w:rsidR="00000000" w:rsidDel="00000000" w:rsidP="00000000" w:rsidRDefault="00000000" w:rsidRPr="00000000" w14:paraId="0000009F">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knee to chest</w:t>
            </w:r>
          </w:p>
          <w:p w:rsidR="00000000" w:rsidDel="00000000" w:rsidP="00000000" w:rsidRDefault="00000000" w:rsidRPr="00000000" w14:paraId="000000A0">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butterfly</w:t>
            </w:r>
          </w:p>
          <w:p w:rsidR="00000000" w:rsidDel="00000000" w:rsidP="00000000" w:rsidRDefault="00000000" w:rsidRPr="00000000" w14:paraId="000000A1">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hurdler's stretch</w:t>
            </w:r>
          </w:p>
          <w:p w:rsidR="00000000" w:rsidDel="00000000" w:rsidP="00000000" w:rsidRDefault="00000000" w:rsidRPr="00000000" w14:paraId="000000A2">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calf stretch</w:t>
            </w:r>
          </w:p>
          <w:p w:rsidR="00000000" w:rsidDel="00000000" w:rsidP="00000000" w:rsidRDefault="00000000" w:rsidRPr="00000000" w14:paraId="000000A3">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thigh stretch</w:t>
            </w:r>
          </w:p>
          <w:p w:rsidR="00000000" w:rsidDel="00000000" w:rsidP="00000000" w:rsidRDefault="00000000" w:rsidRPr="00000000" w14:paraId="000000A4">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child's pose</w:t>
            </w:r>
          </w:p>
          <w:p w:rsidR="00000000" w:rsidDel="00000000" w:rsidP="00000000" w:rsidRDefault="00000000" w:rsidRPr="00000000" w14:paraId="000000A5">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cat and camel</w:t>
            </w:r>
          </w:p>
          <w:p w:rsidR="00000000" w:rsidDel="00000000" w:rsidP="00000000" w:rsidRDefault="00000000" w:rsidRPr="00000000" w14:paraId="000000A6">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crunch</w:t>
            </w:r>
          </w:p>
          <w:p w:rsidR="00000000" w:rsidDel="00000000" w:rsidP="00000000" w:rsidRDefault="00000000" w:rsidRPr="00000000" w14:paraId="000000A7">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leg lift</w:t>
            </w:r>
          </w:p>
          <w:p w:rsidR="00000000" w:rsidDel="00000000" w:rsidP="00000000" w:rsidRDefault="00000000" w:rsidRPr="00000000" w14:paraId="000000A8">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push-away</w:t>
            </w:r>
          </w:p>
          <w:p w:rsidR="00000000" w:rsidDel="00000000" w:rsidP="00000000" w:rsidRDefault="00000000" w:rsidRPr="00000000" w14:paraId="000000A9">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bent knee push-ups</w:t>
            </w:r>
          </w:p>
          <w:p w:rsidR="00000000" w:rsidDel="00000000" w:rsidP="00000000" w:rsidRDefault="00000000" w:rsidRPr="00000000" w14:paraId="000000AA">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right angle push-ups</w:t>
            </w:r>
          </w:p>
          <w:p w:rsidR="00000000" w:rsidDel="00000000" w:rsidP="00000000" w:rsidRDefault="00000000" w:rsidRPr="00000000" w14:paraId="000000AB">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modified pull-ups</w:t>
            </w:r>
          </w:p>
          <w:p w:rsidR="00000000" w:rsidDel="00000000" w:rsidP="00000000" w:rsidRDefault="00000000" w:rsidRPr="00000000" w14:paraId="000000AC">
            <w:pPr>
              <w:pageBreakBefore w:val="0"/>
              <w:numPr>
                <w:ilvl w:val="0"/>
                <w:numId w:val="14"/>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333333"/>
                <w:rtl w:val="0"/>
              </w:rPr>
              <w:t xml:space="preserve">chair dips</w:t>
            </w:r>
          </w:p>
        </w:tc>
        <w:tc>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F">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B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Formative: Other visual assessments</w:t>
            </w:r>
            <w:r w:rsidDel="00000000" w:rsidR="00000000" w:rsidRPr="00000000">
              <w:rPr>
                <w:rtl w:val="0"/>
              </w:rPr>
            </w:r>
          </w:p>
          <w:p w:rsidR="00000000" w:rsidDel="00000000" w:rsidP="00000000" w:rsidRDefault="00000000" w:rsidRPr="00000000" w14:paraId="000000B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based on their level of participation.</w:t>
            </w:r>
            <w:r w:rsidDel="00000000" w:rsidR="00000000" w:rsidRPr="00000000">
              <w:rPr>
                <w:rtl w:val="0"/>
              </w:rPr>
            </w:r>
          </w:p>
          <w:p w:rsidR="00000000" w:rsidDel="00000000" w:rsidP="00000000" w:rsidRDefault="00000000" w:rsidRPr="00000000" w14:paraId="000000B2">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Performance</w:t>
            </w:r>
            <w:r w:rsidDel="00000000" w:rsidR="00000000" w:rsidRPr="00000000">
              <w:rPr>
                <w:rtl w:val="0"/>
              </w:rPr>
            </w:r>
          </w:p>
          <w:p w:rsidR="00000000" w:rsidDel="00000000" w:rsidP="00000000" w:rsidRDefault="00000000" w:rsidRPr="00000000" w14:paraId="000000B3">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Summative: Other visual assessments</w:t>
            </w:r>
            <w:r w:rsidDel="00000000" w:rsidR="00000000" w:rsidRPr="00000000">
              <w:rPr>
                <w:rtl w:val="0"/>
              </w:rPr>
            </w:r>
          </w:p>
          <w:p w:rsidR="00000000" w:rsidDel="00000000" w:rsidP="00000000" w:rsidRDefault="00000000" w:rsidRPr="00000000" w14:paraId="000000B4">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create individual rubric scales to determine whether they have achieved their fitness goals during the President's Physical Fitness Challenge. </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 or Skill for this Unit</w:t>
            </w:r>
          </w:p>
        </w:tc>
        <w:tc>
          <w:tcPr>
            <w:gridSpan w:val="2"/>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Spiral Focus from Previous Unit</w:t>
            </w:r>
          </w:p>
        </w:tc>
        <w:tc>
          <w:tcPr>
            <w:gridSpan w:val="2"/>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C1">
            <w:pPr>
              <w:pageBreakBefore w:val="0"/>
              <w:numPr>
                <w:ilvl w:val="0"/>
                <w:numId w:val="3"/>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appropriately participate in activities that promote lifetime wellness and know these activities can include cardiorespiratory endurance, muscular strength, muscular endurance, body composition, and flexibility.</w:t>
            </w:r>
          </w:p>
          <w:p w:rsidR="00000000" w:rsidDel="00000000" w:rsidP="00000000" w:rsidRDefault="00000000" w:rsidRPr="00000000" w14:paraId="000000C2">
            <w:pPr>
              <w:pageBreakBefore w:val="0"/>
              <w:numPr>
                <w:ilvl w:val="0"/>
                <w:numId w:val="3"/>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Is able to incorporate communication, cooperation, and problem solving into their goal setting.</w:t>
            </w:r>
          </w:p>
          <w:p w:rsidR="00000000" w:rsidDel="00000000" w:rsidP="00000000" w:rsidRDefault="00000000" w:rsidRPr="00000000" w14:paraId="000000C3">
            <w:pPr>
              <w:pageBreakBefore w:val="0"/>
              <w:numPr>
                <w:ilvl w:val="0"/>
                <w:numId w:val="3"/>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Displays respectful behaviors towards all classmates</w:t>
            </w:r>
          </w:p>
          <w:p w:rsidR="00000000" w:rsidDel="00000000" w:rsidP="00000000" w:rsidRDefault="00000000" w:rsidRPr="00000000" w14:paraId="000000C4">
            <w:pPr>
              <w:pageBreakBefore w:val="0"/>
              <w:numPr>
                <w:ilvl w:val="0"/>
                <w:numId w:val="3"/>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pace to gain peak performance.</w:t>
            </w:r>
          </w:p>
          <w:p w:rsidR="00000000" w:rsidDel="00000000" w:rsidP="00000000" w:rsidRDefault="00000000" w:rsidRPr="00000000" w14:paraId="000000C5">
            <w:pPr>
              <w:pageBreakBefore w:val="0"/>
              <w:numPr>
                <w:ilvl w:val="0"/>
                <w:numId w:val="3"/>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set short and long term goals to improve performance in activity.</w:t>
            </w:r>
            <w:r w:rsidDel="00000000" w:rsidR="00000000" w:rsidRPr="00000000">
              <w:rPr>
                <w:rtl w:val="0"/>
              </w:rPr>
            </w:r>
          </w:p>
          <w:p w:rsidR="00000000" w:rsidDel="00000000" w:rsidP="00000000" w:rsidRDefault="00000000" w:rsidRPr="00000000" w14:paraId="000000C6">
            <w:pPr>
              <w:pageBreakBefore w:val="0"/>
              <w:numPr>
                <w:ilvl w:val="0"/>
                <w:numId w:val="3"/>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rtl w:val="0"/>
              </w:rPr>
              <w:t xml:space="preserve">Can recognize and perform exercises to increase strength and/or endurance.</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9">
            <w:pPr>
              <w:pageBreakBefore w:val="0"/>
              <w:numPr>
                <w:ilvl w:val="0"/>
                <w:numId w:val="6"/>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Locomotive skills</w:t>
            </w:r>
          </w:p>
          <w:p w:rsidR="00000000" w:rsidDel="00000000" w:rsidP="00000000" w:rsidRDefault="00000000" w:rsidRPr="00000000" w14:paraId="000000CA">
            <w:pPr>
              <w:pageBreakBefore w:val="0"/>
              <w:numPr>
                <w:ilvl w:val="0"/>
                <w:numId w:val="6"/>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Flexibility</w:t>
            </w:r>
            <w:r w:rsidDel="00000000" w:rsidR="00000000" w:rsidRPr="00000000">
              <w:rPr>
                <w:rtl w:val="0"/>
              </w:rPr>
            </w:r>
          </w:p>
          <w:p w:rsidR="00000000" w:rsidDel="00000000" w:rsidP="00000000" w:rsidRDefault="00000000" w:rsidRPr="00000000" w14:paraId="000000CB">
            <w:pPr>
              <w:pageBreakBefore w:val="0"/>
              <w:numPr>
                <w:ilvl w:val="0"/>
                <w:numId w:val="6"/>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Weight Lifting (pull vs. push muscles)</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D1">
            <w:pPr>
              <w:pageBreakBefore w:val="0"/>
              <w:numPr>
                <w:ilvl w:val="0"/>
                <w:numId w:val="7"/>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Daily Warm –Up activities</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Flexibility</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Muscular Strength/Endurance </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Sit ups</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Push ups</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Planks</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Cardiovascular Endurance</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High knees</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Butt kicks</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Jumping Jacks</w:t>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Running</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Carioca</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Shuffle</w:t>
            </w:r>
            <w:r w:rsidDel="00000000" w:rsidR="00000000" w:rsidRPr="00000000">
              <w:rPr>
                <w:rtl w:val="0"/>
              </w:rPr>
            </w:r>
          </w:p>
          <w:p w:rsidR="00000000" w:rsidDel="00000000" w:rsidP="00000000" w:rsidRDefault="00000000" w:rsidRPr="00000000" w14:paraId="000000DE">
            <w:pPr>
              <w:pageBreakBefore w:val="0"/>
              <w:numPr>
                <w:ilvl w:val="0"/>
                <w:numId w:val="1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Jog/ walk the track</w:t>
            </w:r>
          </w:p>
          <w:p w:rsidR="00000000" w:rsidDel="00000000" w:rsidP="00000000" w:rsidRDefault="00000000" w:rsidRPr="00000000" w14:paraId="000000DF">
            <w:pPr>
              <w:pageBreakBefore w:val="0"/>
              <w:numPr>
                <w:ilvl w:val="0"/>
                <w:numId w:val="1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Presidential Fitness Testing</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100" w:before="280" w:lineRule="auto"/>
              <w:ind w:left="45" w:firstLine="0"/>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4">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E5">
            <w:pPr>
              <w:pageBreakBefore w:val="0"/>
              <w:rPr/>
            </w:pPr>
            <w:r w:rsidDel="00000000" w:rsidR="00000000" w:rsidRPr="00000000">
              <w:rPr>
                <w:rtl w:val="0"/>
              </w:rPr>
              <w:t xml:space="preserve">Unit focus on personal health</w:t>
            </w:r>
          </w:p>
          <w:p w:rsidR="00000000" w:rsidDel="00000000" w:rsidP="00000000" w:rsidRDefault="00000000" w:rsidRPr="00000000" w14:paraId="000000E6">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E7">
            <w:pPr>
              <w:pageBreakBefore w:val="0"/>
              <w:rPr/>
            </w:pPr>
            <w:r w:rsidDel="00000000" w:rsidR="00000000" w:rsidRPr="00000000">
              <w:rPr>
                <w:rtl w:val="0"/>
              </w:rPr>
            </w:r>
          </w:p>
          <w:p w:rsidR="00000000" w:rsidDel="00000000" w:rsidP="00000000" w:rsidRDefault="00000000" w:rsidRPr="00000000" w14:paraId="000000E8">
            <w:pPr>
              <w:pageBreakBefore w:val="0"/>
              <w:rPr>
                <w:b w:val="1"/>
              </w:rPr>
            </w:pPr>
            <w:r w:rsidDel="00000000" w:rsidR="00000000" w:rsidRPr="00000000">
              <w:rPr>
                <w:rtl w:val="0"/>
              </w:rPr>
            </w:r>
          </w:p>
          <w:p w:rsidR="00000000" w:rsidDel="00000000" w:rsidP="00000000" w:rsidRDefault="00000000" w:rsidRPr="00000000" w14:paraId="000000E9">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EA">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EB">
            <w:pPr>
              <w:pageBreakBefore w:val="0"/>
              <w:rPr/>
            </w:pPr>
            <w:r w:rsidDel="00000000" w:rsidR="00000000" w:rsidRPr="00000000">
              <w:rPr>
                <w:rtl w:val="0"/>
              </w:rPr>
            </w:r>
          </w:p>
          <w:p w:rsidR="00000000" w:rsidDel="00000000" w:rsidP="00000000" w:rsidRDefault="00000000" w:rsidRPr="00000000" w14:paraId="000000EC">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D">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EE">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F">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F0">
            <w:pPr>
              <w:pageBreakBefore w:val="0"/>
              <w:rPr/>
            </w:pPr>
            <w:r w:rsidDel="00000000" w:rsidR="00000000" w:rsidRPr="00000000">
              <w:rPr>
                <w:rtl w:val="0"/>
              </w:rPr>
            </w:r>
          </w:p>
          <w:p w:rsidR="00000000" w:rsidDel="00000000" w:rsidP="00000000" w:rsidRDefault="00000000" w:rsidRPr="00000000" w14:paraId="000000F1">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F2">
            <w:pPr>
              <w:pageBreakBefore w:val="0"/>
              <w:numPr>
                <w:ilvl w:val="0"/>
                <w:numId w:val="10"/>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FA">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www.presidentschallenge.org</w:t>
            </w:r>
            <w:r w:rsidDel="00000000" w:rsidR="00000000" w:rsidRPr="00000000">
              <w:rPr>
                <w:rtl w:val="0"/>
              </w:rPr>
            </w:r>
          </w:p>
          <w:p w:rsidR="00000000" w:rsidDel="00000000" w:rsidP="00000000" w:rsidRDefault="00000000" w:rsidRPr="00000000" w14:paraId="000000FB">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www.fitness.gov</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1">
            <w:pPr>
              <w:pageBreakBefore w:val="0"/>
              <w:spacing w:after="200" w:line="276" w:lineRule="auto"/>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102">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03">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04">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105">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106">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107">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108">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109">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0A">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0B">
            <w:pPr>
              <w:pageBreakBefore w:val="0"/>
              <w:numPr>
                <w:ilvl w:val="0"/>
                <w:numId w:val="9"/>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10C">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10D">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E">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0F">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10">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11">
            <w:pPr>
              <w:pageBreakBefore w:val="0"/>
              <w:numPr>
                <w:ilvl w:val="0"/>
                <w:numId w:val="8"/>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12">
            <w:pPr>
              <w:pageBreakBefore w:val="0"/>
              <w:numPr>
                <w:ilvl w:val="0"/>
                <w:numId w:val="8"/>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13">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14">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15">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16">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17">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18">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19">
            <w:pPr>
              <w:pageBreakBefore w:val="0"/>
              <w:rPr/>
            </w:pPr>
            <w:r w:rsidDel="00000000" w:rsidR="00000000" w:rsidRPr="00000000">
              <w:rPr>
                <w:rtl w:val="0"/>
              </w:rPr>
            </w:r>
          </w:p>
          <w:p w:rsidR="00000000" w:rsidDel="00000000" w:rsidP="00000000" w:rsidRDefault="00000000" w:rsidRPr="00000000" w14:paraId="0000011A">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1B">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1C">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1D">
            <w:pPr>
              <w:pageBreakBefore w:val="0"/>
              <w:spacing w:after="80" w:before="40" w:lineRule="auto"/>
              <w:rPr>
                <w:b w:val="1"/>
              </w:rPr>
            </w:pPr>
            <w:r w:rsidDel="00000000" w:rsidR="00000000" w:rsidRPr="00000000">
              <w:rPr>
                <w:rtl w:val="0"/>
              </w:rPr>
            </w:r>
          </w:p>
          <w:p w:rsidR="00000000" w:rsidDel="00000000" w:rsidP="00000000" w:rsidRDefault="00000000" w:rsidRPr="00000000" w14:paraId="0000011E">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1F">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20">
            <w:pPr>
              <w:pageBreakBefore w:val="0"/>
              <w:numPr>
                <w:ilvl w:val="0"/>
                <w:numId w:val="11"/>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tc>
      </w:tr>
    </w:tbl>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left"/>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