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Health Grade 10 Unit 10: The New Jersey License System</w:t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i w:val="1"/>
                <w:color w:val="ffffff"/>
                <w:sz w:val="28"/>
                <w:szCs w:val="28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2020 New Jersey Student Learning Standards – Comprehensive Health and Physical Education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2.3 Safety by the End of Grade 12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Personal Safety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Consideration of the short- and long-term impact of decisions can assist individuals in determining whether a choice is likely to result in healthy or unhealthy consequences.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2.3.12.PS.3: Summarize New Jersey motor vehicle laws and regulations, Safe Stops, and determine their impact on health and safety (e.g., organ/tissue donation, traffic safety, avoid driving distractions, seatbelt use, the use of hand-held devices).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2.3.12.PS.4: Investigate the relationship between alcohol, drug use, and motor vehicle crashes and analyze the short- and long-term consequences of these actions.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3020.0" w:type="dxa"/>
              <w:jc w:val="left"/>
              <w:tblLayout w:type="fixed"/>
              <w:tblLook w:val="0400"/>
            </w:tblPr>
            <w:tblGrid>
              <w:gridCol w:w="135"/>
              <w:gridCol w:w="12840"/>
              <w:gridCol w:w="45"/>
              <w:tblGridChange w:id="0">
                <w:tblGrid>
                  <w:gridCol w:w="135"/>
                  <w:gridCol w:w="12840"/>
                  <w:gridCol w:w="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45.0" w:type="dxa"/>
                    <w:left w:w="0.0" w:type="dxa"/>
                    <w:bottom w:w="45.0" w:type="dxa"/>
                    <w:right w:w="0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after="0" w:line="240" w:lineRule="auto"/>
                    <w:rPr>
                      <w:b w:val="1"/>
                      <w:color w:val="33333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Rationale and Transfer Goals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This unit is designed to prepare students for taking the written drivers exam.  Students will learn about the process of becoming a licensed driver.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Building a firm foundation of driving knowledge and safe driving is key to a driver's education.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Preparing proper information for DMV.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How the car operates.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Why is it beneficial to take drivers education?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Why is it important to have multiple identification documents when getting a license?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How can obtaining a license at a young age be dangerous?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Requirements for becoming licensed.</w:t>
            </w:r>
          </w:p>
          <w:p w:rsidR="00000000" w:rsidDel="00000000" w:rsidP="00000000" w:rsidRDefault="00000000" w:rsidRPr="00000000" w14:paraId="00000054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points system</w:t>
            </w:r>
          </w:p>
          <w:p w:rsidR="00000000" w:rsidDel="00000000" w:rsidP="00000000" w:rsidRDefault="00000000" w:rsidRPr="00000000" w14:paraId="00000055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importance of safety</w:t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4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ab/>
              <w:t xml:space="preserve">Identify proper forms of identification.</w:t>
            </w:r>
          </w:p>
          <w:p w:rsidR="00000000" w:rsidDel="00000000" w:rsidP="00000000" w:rsidRDefault="00000000" w:rsidRPr="00000000" w14:paraId="0000006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4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recognize content of exam</w:t>
            </w:r>
          </w:p>
          <w:p w:rsidR="00000000" w:rsidDel="00000000" w:rsidP="00000000" w:rsidRDefault="00000000" w:rsidRPr="00000000" w14:paraId="0000006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4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explain safety precautions of driving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Photo Prompt.</w:t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Sign project</w:t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Chapter outlines</w:t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Picture Prompt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Summative: Visual Arts Project</w:t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Students will create a story using actual photos of car accidents.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Road Sign</w:t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Summative: Personal Project</w:t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Students will research and design a road sign or their choice. Signs will be explained to the class before hanging up in the room.</w:t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Tests and quizzes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Formative: Written Test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Written exam on class lectures.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ffff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u w:val="single"/>
                <w:rtl w:val="0"/>
              </w:rPr>
              <w:t xml:space="preserve">Spiraling for Mastery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being accountable for 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knowledge of road rules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Why driving is beneficial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Significance of obtaining a license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Awareness of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Team building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Effective communication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Cooperative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Literacy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Health literacy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Group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Golf car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Current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21</w:t>
            </w:r>
            <w:r w:rsidDel="00000000" w:rsidR="00000000" w:rsidRPr="00000000">
              <w:rPr>
                <w:b w:val="1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Century Skills: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CRP3. Attend to personal health and financial well-being.</w:t>
            </w:r>
          </w:p>
          <w:p w:rsidR="00000000" w:rsidDel="00000000" w:rsidP="00000000" w:rsidRDefault="00000000" w:rsidRPr="00000000" w14:paraId="000000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Unit focus on personal health</w:t>
            </w:r>
          </w:p>
          <w:p w:rsidR="00000000" w:rsidDel="00000000" w:rsidP="00000000" w:rsidRDefault="00000000" w:rsidRPr="00000000" w14:paraId="000000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Cross-cutting discussions of financial costs and benefits to lifelong fitness</w:t>
            </w:r>
          </w:p>
          <w:p w:rsidR="00000000" w:rsidDel="00000000" w:rsidP="00000000" w:rsidRDefault="00000000" w:rsidRPr="00000000" w14:paraId="000000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CRP6. Demonstrate creativity and innovation.</w:t>
            </w:r>
          </w:p>
          <w:p w:rsidR="00000000" w:rsidDel="00000000" w:rsidP="00000000" w:rsidRDefault="00000000" w:rsidRPr="00000000" w14:paraId="000000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Creativity in development of workout plans for variety and maintaining interest</w:t>
            </w:r>
          </w:p>
          <w:p w:rsidR="00000000" w:rsidDel="00000000" w:rsidP="00000000" w:rsidRDefault="00000000" w:rsidRPr="00000000" w14:paraId="000000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CRP11. Use technology to enhance productivity.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Use of online and mobile technology to support lifetime health and fitness goals </w:t>
            </w:r>
          </w:p>
          <w:p w:rsidR="00000000" w:rsidDel="00000000" w:rsidP="00000000" w:rsidRDefault="00000000" w:rsidRPr="00000000" w14:paraId="0000009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CRP12. Work productively in teams while using cultural global competence.</w:t>
            </w:r>
          </w:p>
          <w:p w:rsidR="00000000" w:rsidDel="00000000" w:rsidP="00000000" w:rsidRDefault="00000000" w:rsidRPr="00000000" w14:paraId="000000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will work in small groups to create, problem solve, and participate in games</w:t>
            </w:r>
          </w:p>
          <w:p w:rsidR="00000000" w:rsidDel="00000000" w:rsidP="00000000" w:rsidRDefault="00000000" w:rsidRPr="00000000" w14:paraId="000000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CRP4. Communicate clearly and effectively and with reason.</w:t>
            </w:r>
          </w:p>
          <w:p w:rsidR="00000000" w:rsidDel="00000000" w:rsidP="00000000" w:rsidRDefault="00000000" w:rsidRPr="00000000" w14:paraId="0000009D">
            <w:pPr>
              <w:pageBreakBefore w:val="0"/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aspects of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5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New Jersey Drivers Manual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New Jersey Drivers ED DVD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</w:rPr>
      <w:drawing>
        <wp:inline distB="0" distT="0" distL="0" distR="0">
          <wp:extent cx="1132452" cy="3138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452" cy="3138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