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Visual and Performing Arts: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K-2</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8.1.2.A.1</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basic features of a digital device and explain its purpose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using a word processing application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8.1.2.A.3</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the common uses of at least two different digital applications and identify the advantages and disadvantages of using each.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8.1.2.A.4</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developmentally appropriate navigation skills in virtual environments (i.e. games, museums).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8.1.2.A.5</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spreadsheet and sort the information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8.1.2.A.6</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structure and components of a database.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8.1.2.A.7</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database or spreadsheet and filter the information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Waterford Institute</w:t>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8.1.2.B.1</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flipcams to capture photographs or videos</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flipcam images to create a story using Google Applications.</w:t>
            </w:r>
          </w:p>
          <w:p w:rsidR="00000000" w:rsidDel="00000000" w:rsidP="00000000" w:rsidRDefault="00000000" w:rsidRPr="00000000" w14:paraId="00000084">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5">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use digital apps to create live cartoons using Toontastic or photographing pages from a book and recording the reading of pages using Story Kit.</w:t>
            </w:r>
          </w:p>
        </w:tc>
      </w:tr>
    </w:tbl>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8.1.2.C.1</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Skype to partner with classrooms abroad and engage in discussion</w:t>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collaborative and/or competitive interactive digital games for learning</w:t>
            </w:r>
          </w:p>
          <w:p w:rsidR="00000000" w:rsidDel="00000000" w:rsidP="00000000" w:rsidRDefault="00000000" w:rsidRPr="00000000" w14:paraId="000000B7">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8">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Podcasts for kids to follow current events in the arts</w:t>
            </w:r>
            <w:r w:rsidDel="00000000" w:rsidR="00000000" w:rsidRPr="00000000">
              <w:rPr>
                <w:rtl w:val="0"/>
              </w:rPr>
            </w:r>
          </w:p>
        </w:tc>
      </w:tr>
    </w:tbl>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8.1.2.D.1</w:t>
            </w:r>
            <w:r w:rsidDel="00000000" w:rsidR="00000000" w:rsidRPr="00000000">
              <w:rPr>
                <w:rtl w:val="0"/>
              </w:rPr>
            </w:r>
          </w:p>
        </w:tc>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0D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w:t>
            </w:r>
          </w:p>
          <w:p w:rsidR="00000000" w:rsidDel="00000000" w:rsidP="00000000" w:rsidRDefault="00000000" w:rsidRPr="00000000" w14:paraId="000000D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D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w:t>
            </w:r>
            <w:hyperlink r:id="rId6">
              <w:r w:rsidDel="00000000" w:rsidR="00000000" w:rsidRPr="00000000">
                <w:rPr>
                  <w:rFonts w:ascii="Calibri" w:cs="Calibri" w:eastAsia="Calibri" w:hAnsi="Calibri"/>
                  <w:color w:val="0000ff"/>
                  <w:sz w:val="20"/>
                  <w:szCs w:val="20"/>
                  <w:u w:val="single"/>
                  <w:rtl w:val="0"/>
                </w:rPr>
                <w:t xml:space="preserve">https://www.commonsensemedia.org/videos/copyright-and-fair-use-animation</w:t>
              </w:r>
            </w:hyperlink>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r w:rsidDel="00000000" w:rsidR="00000000" w:rsidRPr="00000000">
              <w:fldChar w:fldCharType="end"/>
            </w:r>
          </w:p>
        </w:tc>
      </w:tr>
    </w:tbl>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r w:rsidDel="00000000" w:rsidR="00000000" w:rsidRPr="00000000">
        <w:fldChar w:fldCharType="end"/>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Locate, organize, analyze, evaluate, synthesize, and ethically use information from a variety of sources and media. 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digital tools and online resources to explore a problem or issue.</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p>
          <w:p w:rsidR="00000000" w:rsidDel="00000000" w:rsidP="00000000" w:rsidRDefault="00000000" w:rsidRPr="00000000" w14:paraId="0000010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Plan and manage activities to develop a solution or complete a project. Collect and analyze data to identify solutions and/or make informed decisions. 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geographic mapping tools to plan and solve problems.</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760" w:hRule="atLeast"/>
          <w:tblHeader w:val="0"/>
        </w:trPr>
        <w:tc>
          <w:tcPr>
            <w:gridSpan w:val="4"/>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(including maps) to guide thinking about problems and how to solve the</w:t>
            </w:r>
            <w:r w:rsidDel="00000000" w:rsidR="00000000" w:rsidRPr="00000000">
              <w:rPr>
                <w:rFonts w:ascii="Calibri" w:cs="Calibri" w:eastAsia="Calibri" w:hAnsi="Calibri"/>
                <w:sz w:val="20"/>
                <w:szCs w:val="20"/>
                <w:rtl w:val="0"/>
              </w:rPr>
              <w:t xml:space="preserve">m</w:t>
            </w:r>
            <w:r w:rsidDel="00000000" w:rsidR="00000000" w:rsidRPr="00000000">
              <w:rPr>
                <w:rtl w:val="0"/>
              </w:rPr>
            </w:r>
          </w:p>
        </w:tc>
      </w:tr>
    </w:tbl>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8.2.2.A.1</w:t>
            </w: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Define products produced as a result of technology or of nature</w:t>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3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8.2.2.A.2</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designed products and systems are useful at school, home and work</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8.2.2.A.3</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 system and the components that work together to accomplish its purpose.</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8.2.2.A.4</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Choose a product to make and plan the tools and materials needed.</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8.2.2.A.5</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design a solution to a problem affecting the community.</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B">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color w:val="000000"/>
                <w:sz w:val="20"/>
                <w:szCs w:val="20"/>
                <w:rtl w:val="0"/>
              </w:rPr>
              <w:t xml:space="preserve">Understanding a</w:t>
            </w:r>
            <w:r w:rsidDel="00000000" w:rsidR="00000000" w:rsidRPr="00000000">
              <w:rPr>
                <w:rFonts w:ascii="Calibri" w:cs="Calibri" w:eastAsia="Calibri" w:hAnsi="Calibri"/>
                <w:sz w:val="20"/>
                <w:szCs w:val="20"/>
                <w:rtl w:val="0"/>
              </w:rPr>
              <w:t xml:space="preserve">esthetics </w:t>
            </w:r>
            <w:r w:rsidDel="00000000" w:rsidR="00000000" w:rsidRPr="00000000">
              <w:rPr>
                <w:rFonts w:ascii="Calibri" w:cs="Calibri" w:eastAsia="Calibri" w:hAnsi="Calibri"/>
                <w:color w:val="000000"/>
                <w:sz w:val="20"/>
                <w:szCs w:val="20"/>
                <w:rtl w:val="0"/>
              </w:rPr>
              <w:t xml:space="preserve">of local community and design of key features like parks, roads, etc.</w:t>
            </w:r>
            <w:r w:rsidDel="00000000" w:rsidR="00000000" w:rsidRPr="00000000">
              <w:rPr>
                <w:rtl w:val="0"/>
              </w:rPr>
            </w:r>
          </w:p>
        </w:tc>
      </w:tr>
    </w:tbl>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8.2.2.B.1</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8.2.2.B.2</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8.2.2.B.3</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products or systems that are designed to meet human needs.</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8.2.2.B.4</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the ways people live and work has changed because of technology.</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840" w:hRule="atLeast"/>
          <w:tblHeader w:val="0"/>
        </w:trPr>
        <w:tc>
          <w:tcPr>
            <w:gridSpan w:val="4"/>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0">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pros and cons of print materials vs. digital material</w:t>
            </w:r>
            <w:r w:rsidDel="00000000" w:rsidR="00000000" w:rsidRPr="00000000">
              <w:rPr>
                <w:rFonts w:ascii="Calibri" w:cs="Calibri" w:eastAsia="Calibri" w:hAnsi="Calibri"/>
                <w:sz w:val="20"/>
                <w:szCs w:val="20"/>
                <w:rtl w:val="0"/>
              </w:rPr>
              <w:t xml:space="preserve">s</w:t>
            </w:r>
            <w:r w:rsidDel="00000000" w:rsidR="00000000" w:rsidRPr="00000000">
              <w:rPr>
                <w:rtl w:val="0"/>
              </w:rPr>
            </w:r>
          </w:p>
        </w:tc>
      </w:tr>
    </w:tbl>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tc>
      </w:tr>
      <w:tr>
        <w:trPr>
          <w:cantSplit w:val="0"/>
          <w:tblHeader w:val="0"/>
        </w:trPr>
        <w:tc>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8.2.2.C.1</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Brainstorm ideas on how to solve a problem or build a product.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8.2.2.C.2</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drawing of a product or device that communicates its function to peers and discuss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8.2.2.C.3</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why we need to make new products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8.2.2.C.4</w:t>
            </w:r>
            <w:r w:rsidDel="00000000" w:rsidR="00000000" w:rsidRPr="00000000">
              <w:rPr>
                <w:rtl w:val="0"/>
              </w:rPr>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designed products and brainstorm how to improve one used in the classroom</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8.2.2.C.5</w:t>
            </w:r>
            <w:r w:rsidDel="00000000" w:rsidR="00000000" w:rsidRPr="00000000">
              <w:rPr>
                <w:rtl w:val="0"/>
              </w:rPr>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the parts of a common toy or tool interact and work as part of a system.</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8.2.2.C.6</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product that has stopped working and brainstorm ideas to correct the problem.</w:t>
            </w: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D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 in the artistic context</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8.2.2.D.1</w:t>
            </w: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8.2.2.D.2</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8.2.2.D.3</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8.2.2.D.4</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8.2.2.D.5</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0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arts in consumer culture shape our lives </w:t>
            </w:r>
          </w:p>
          <w:p w:rsidR="00000000" w:rsidDel="00000000" w:rsidP="00000000" w:rsidRDefault="00000000" w:rsidRPr="00000000" w14:paraId="0000021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problem, or a product.  Use multimedia resources in order to answer the question, solve </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the problem, or to create the product.  (Earth conservation, community responsibility, </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creating team-building games, etc). </w:t>
            </w:r>
          </w:p>
        </w:tc>
      </w:tr>
    </w:tbl>
    <w:bookmarkStart w:colFirst="0" w:colLast="0" w:name="gjdgxs" w:id="0"/>
    <w:bookmarkEnd w:id="0"/>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8.2.2.E.1</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List and demonstrate the steps to an everyday task.</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8.2.2.E.2</w:t>
            </w:r>
            <w:r w:rsidDel="00000000" w:rsidR="00000000" w:rsidRPr="00000000">
              <w:rPr>
                <w:rtl w:val="0"/>
              </w:rPr>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how a computer takes input through a series of written commands and then interprets and displays information as output.</w:t>
            </w: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8.2.2.E.3</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algorithms (a sets of instructions) using a pre-defined set of commands (e.g., to move a student or a character through a maze).</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8.2.2.E.4</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8.2.2.E.5</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basic vocabulary words: input, output, the operating system, debug, and algorithm).</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        academic critical thinking</w:t>
            </w:r>
            <w:r w:rsidDel="00000000" w:rsidR="00000000" w:rsidRPr="00000000">
              <w:rPr>
                <w:rtl w:val="0"/>
              </w:rPr>
            </w:r>
          </w:p>
          <w:p w:rsidR="00000000" w:rsidDel="00000000" w:rsidP="00000000" w:rsidRDefault="00000000" w:rsidRPr="00000000" w14:paraId="00000252">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Protocols for guiding student self-directedness with classroom procedures and </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academic critical thinking.</w:t>
            </w:r>
          </w:p>
          <w:p w:rsidR="00000000" w:rsidDel="00000000" w:rsidP="00000000" w:rsidRDefault="00000000" w:rsidRPr="00000000" w14:paraId="00000254">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Familiarizing students with the elementary concepts of coding and programming </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software (Tynker, Code.org, Kids Can Code) and their role in art</w:t>
            </w:r>
          </w:p>
        </w:tc>
      </w:tr>
    </w:tbl>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mmonsensemedia.org/videos/copyright-and-fair-use-ani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