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Visual and Performing Arts: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F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https://www.commonsensemedia.org/videos/copyright-and-fair-use-animation</w:t>
            </w:r>
          </w:p>
        </w:tc>
      </w:tr>
    </w:tbl>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1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6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activities:</w:t>
            </w:r>
          </w:p>
          <w:p w:rsidR="00000000" w:rsidDel="00000000" w:rsidP="00000000" w:rsidRDefault="00000000" w:rsidRPr="00000000" w14:paraId="00000177">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Discussions and exercises in limitations and appropriateness of various technologies for arts media</w:t>
            </w:r>
            <w:r w:rsidDel="00000000" w:rsidR="00000000" w:rsidRPr="00000000">
              <w:rPr>
                <w:rtl w:val="0"/>
              </w:rPr>
            </w:r>
          </w:p>
        </w:tc>
      </w:tr>
    </w:tbl>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B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r w:rsidDel="00000000" w:rsidR="00000000" w:rsidRPr="00000000">
              <w:rPr>
                <w:rtl w:val="0"/>
              </w:rPr>
            </w:r>
          </w:p>
        </w:tc>
      </w:tr>
    </w:tbl>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context of arts. </w:t>
            </w:r>
            <w:r w:rsidDel="00000000" w:rsidR="00000000" w:rsidRPr="00000000">
              <w:rPr>
                <w:rtl w:val="0"/>
              </w:rPr>
            </w:r>
          </w:p>
        </w:tc>
      </w:tr>
    </w:tbl>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4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context of arts.  </w:t>
            </w:r>
            <w:r w:rsidDel="00000000" w:rsidR="00000000" w:rsidRPr="00000000">
              <w:rPr>
                <w:rtl w:val="0"/>
              </w:rPr>
            </w:r>
          </w:p>
        </w:tc>
      </w:tr>
    </w:tbl>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7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7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8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Guided Math Lessons using Khan Academy, NJCTL, and Learn Zillion.</w:t>
            </w:r>
          </w:p>
          <w:p w:rsidR="00000000" w:rsidDel="00000000" w:rsidP="00000000" w:rsidRDefault="00000000" w:rsidRPr="00000000" w14:paraId="0000028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8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8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Familiarizing students with the elementary concepts of coding and programming software (Tynker, Code.org, Kids Can Code) </w:t>
            </w:r>
          </w:p>
          <w:p w:rsidR="00000000" w:rsidDel="00000000" w:rsidP="00000000" w:rsidRDefault="00000000" w:rsidRPr="00000000" w14:paraId="0000028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8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tc>
      </w:tr>
    </w:tbl>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