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Visual and Performing Arts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7njti3scxyvq" w:id="1"/>
      <w:bookmarkEnd w:id="1"/>
      <w:r w:rsidDel="00000000" w:rsidR="00000000" w:rsidRPr="00000000">
        <w:rPr>
          <w:b w:val="1"/>
          <w:sz w:val="32"/>
          <w:szCs w:val="32"/>
          <w:rtl w:val="0"/>
        </w:rPr>
        <w:t xml:space="preserve">Appendix A: Accommodations and Modifications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4">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5">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6">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7">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8">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9">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A">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4">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5">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6">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7">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8">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B">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4">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5">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6">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7">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8">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9">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A">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Pr>
        <w:drawing>
          <wp:inline distB="114300" distT="114300" distL="114300" distR="114300">
            <wp:extent cx="5948363" cy="3759035"/>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8363" cy="375903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Pr>
        <w:drawing>
          <wp:inline distB="114300" distT="114300" distL="114300" distR="114300">
            <wp:extent cx="6131476" cy="4481513"/>
            <wp:effectExtent b="0" l="0" r="0" t="0"/>
            <wp:docPr id="6"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6131476" cy="4481513"/>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Extensive research, tools, tips, and guidelines for special education in the VPA context is available in the following resource:</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u w:val="none"/>
        </w:rPr>
      </w:pPr>
      <w:r w:rsidDel="00000000" w:rsidR="00000000" w:rsidRPr="00000000">
        <w:rPr>
          <w:rFonts w:ascii="Calibri" w:cs="Calibri" w:eastAsia="Calibri" w:hAnsi="Calibri"/>
          <w:rtl w:val="0"/>
        </w:rPr>
        <w:t xml:space="preserve">The Kennedy Center: </w:t>
      </w:r>
      <w:hyperlink r:id="rId14">
        <w:r w:rsidDel="00000000" w:rsidR="00000000" w:rsidRPr="00000000">
          <w:rPr>
            <w:rFonts w:ascii="Calibri" w:cs="Calibri" w:eastAsia="Calibri" w:hAnsi="Calibri"/>
            <w:color w:val="1155cc"/>
            <w:u w:val="single"/>
            <w:rtl w:val="0"/>
          </w:rPr>
          <w:t xml:space="preserve">http://education.kennedy-center.org/pdf/Professional_Papers_Vol_1.pdf</w:t>
        </w:r>
      </w:hyperlink>
      <w:r w:rsidDel="00000000" w:rsidR="00000000" w:rsidRPr="00000000">
        <w:rPr>
          <w:rtl w:val="0"/>
        </w:rPr>
      </w:r>
    </w:p>
    <w:p w:rsidR="00000000" w:rsidDel="00000000" w:rsidP="00000000" w:rsidRDefault="00000000" w:rsidRPr="00000000" w14:paraId="0000006C">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u w:val="none"/>
        </w:rPr>
      </w:pPr>
      <w:r w:rsidDel="00000000" w:rsidR="00000000" w:rsidRPr="00000000">
        <w:rPr>
          <w:rFonts w:ascii="Calibri" w:cs="Calibri" w:eastAsia="Calibri" w:hAnsi="Calibri"/>
          <w:rtl w:val="0"/>
        </w:rPr>
        <w:t xml:space="preserve">“Connecting the Arts and Special Education” (CEC): </w:t>
      </w:r>
      <w:hyperlink r:id="rId15">
        <w:r w:rsidDel="00000000" w:rsidR="00000000" w:rsidRPr="00000000">
          <w:rPr>
            <w:rFonts w:ascii="Calibri" w:cs="Calibri" w:eastAsia="Calibri" w:hAnsi="Calibri"/>
            <w:color w:val="1155cc"/>
            <w:u w:val="single"/>
            <w:rtl w:val="0"/>
          </w:rPr>
          <w:t xml:space="preserve">http://community.cec.sped.org/darts/new-item2</w:t>
        </w:r>
      </w:hyperlink>
      <w:r w:rsidDel="00000000" w:rsidR="00000000" w:rsidRPr="00000000">
        <w:rPr>
          <w:rtl w:val="0"/>
        </w:rPr>
      </w:r>
    </w:p>
    <w:p w:rsidR="00000000" w:rsidDel="00000000" w:rsidP="00000000" w:rsidRDefault="00000000" w:rsidRPr="00000000" w14:paraId="0000006D">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u w:val="none"/>
        </w:rPr>
      </w:pPr>
      <w:r w:rsidDel="00000000" w:rsidR="00000000" w:rsidRPr="00000000">
        <w:rPr>
          <w:rFonts w:ascii="Calibri" w:cs="Calibri" w:eastAsia="Calibri" w:hAnsi="Calibri"/>
          <w:rtl w:val="0"/>
        </w:rPr>
        <w:t xml:space="preserve">National Art Education Association: </w:t>
      </w:r>
      <w:hyperlink r:id="rId16">
        <w:r w:rsidDel="00000000" w:rsidR="00000000" w:rsidRPr="00000000">
          <w:rPr>
            <w:rFonts w:ascii="Calibri" w:cs="Calibri" w:eastAsia="Calibri" w:hAnsi="Calibri"/>
            <w:color w:val="1155cc"/>
            <w:u w:val="single"/>
            <w:rtl w:val="0"/>
          </w:rPr>
          <w:t xml:space="preserve">https://www.arteducators.org/search?topic=special-needs</w:t>
        </w:r>
      </w:hyperlink>
      <w:r w:rsidDel="00000000" w:rsidR="00000000" w:rsidRPr="00000000">
        <w:rPr>
          <w:rtl w:val="0"/>
        </w:rPr>
      </w:r>
    </w:p>
    <w:p w:rsidR="00000000" w:rsidDel="00000000" w:rsidP="00000000" w:rsidRDefault="00000000" w:rsidRPr="00000000" w14:paraId="0000006E">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u w:val="none"/>
        </w:rPr>
      </w:pPr>
      <w:r w:rsidDel="00000000" w:rsidR="00000000" w:rsidRPr="00000000">
        <w:rPr>
          <w:rFonts w:ascii="Calibri" w:cs="Calibri" w:eastAsia="Calibri" w:hAnsi="Calibri"/>
          <w:rtl w:val="0"/>
        </w:rPr>
        <w:t xml:space="preserve">“Instructional Adaptations for Students with Diverse Needs” (NJDOE): </w:t>
      </w:r>
      <w:hyperlink r:id="rId17">
        <w:r w:rsidDel="00000000" w:rsidR="00000000" w:rsidRPr="00000000">
          <w:rPr>
            <w:rFonts w:ascii="Calibri" w:cs="Calibri" w:eastAsia="Calibri" w:hAnsi="Calibri"/>
            <w:color w:val="1155cc"/>
            <w:u w:val="single"/>
            <w:rtl w:val="0"/>
          </w:rPr>
          <w:t xml:space="preserve">https://www.state.nj.us/education/archive/frameworks/arts/chap5.pdf</w:t>
        </w:r>
      </w:hyperlink>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Pr>
        <w:drawing>
          <wp:inline distB="114300" distT="114300" distL="114300" distR="114300">
            <wp:extent cx="6299481" cy="3948113"/>
            <wp:effectExtent b="0" l="0" r="0" t="0"/>
            <wp:docPr id="3"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6299481" cy="3948113"/>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Pr>
        <w:drawing>
          <wp:inline distB="114300" distT="114300" distL="114300" distR="114300">
            <wp:extent cx="5834063" cy="3633030"/>
            <wp:effectExtent b="0" l="0" r="0" t="0"/>
            <wp:docPr id="5"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834063" cy="363303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Excerpts from NJDOE VPA Curriculum Framework, </w:t>
      </w:r>
      <w:hyperlink r:id="rId20">
        <w:r w:rsidDel="00000000" w:rsidR="00000000" w:rsidRPr="00000000">
          <w:rPr>
            <w:rFonts w:ascii="Calibri" w:cs="Calibri" w:eastAsia="Calibri" w:hAnsi="Calibri"/>
            <w:b w:val="1"/>
            <w:color w:val="1155cc"/>
            <w:sz w:val="22"/>
            <w:szCs w:val="22"/>
            <w:u w:val="single"/>
            <w:rtl w:val="0"/>
          </w:rPr>
          <w:t xml:space="preserve">https://www.state.nj.us/education/archive/frameworks/arts/chap5.pdf</w:t>
        </w:r>
      </w:hyperlink>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Visual and Performing Arts</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Appendix B: Universal Design for Learning (UDL)</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21">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22">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23">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fldChar w:fldCharType="begin"/>
        <w:instrText xml:space="preserve"> HYPERLINK "http://udltheorypractice.cast.org/home?4" </w:instrText>
        <w:fldChar w:fldCharType="separate"/>
      </w:r>
      <w:r w:rsidDel="00000000" w:rsidR="00000000" w:rsidRPr="00000000">
        <w:rPr>
          <w:rFonts w:ascii="Calibri" w:cs="Calibri" w:eastAsia="Calibri" w:hAnsi="Calibri"/>
        </w:rPr>
        <w:drawing>
          <wp:inline distB="0" distT="0" distL="0" distR="0">
            <wp:extent cx="3602355" cy="3075017"/>
            <wp:effectExtent b="0" l="0" r="0" t="0"/>
            <wp:docPr id="4"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3602355" cy="3075017"/>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1"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Visual and Performing Arts: </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Appendix C: Gifted and Talented</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26">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7">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8">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9">
        <w:r w:rsidDel="00000000" w:rsidR="00000000" w:rsidRPr="00000000">
          <w:rPr>
            <w:rFonts w:ascii="Calibri" w:cs="Calibri" w:eastAsia="Calibri" w:hAnsi="Calibri"/>
            <w:color w:val="0000ff"/>
            <w:u w:val="single"/>
            <w:rtl w:val="0"/>
          </w:rPr>
          <w:t xml:space="preserve">http://www.njagc.org/</w:t>
        </w:r>
      </w:hyperlink>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1">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2"/>
      <w:bookmarkEnd w:id="2"/>
      <w:r w:rsidDel="00000000" w:rsidR="00000000" w:rsidRPr="00000000">
        <w:fldChar w:fldCharType="end"/>
      </w:r>
      <w:r w:rsidDel="00000000" w:rsidR="00000000" w:rsidRPr="00000000">
        <w:rPr>
          <w:rtl w:val="0"/>
        </w:rPr>
        <w:t xml:space="preserve">Additional Specific Info for GT Students in the VPA Context</w:t>
      </w:r>
    </w:p>
    <w:p w:rsidR="00000000" w:rsidDel="00000000" w:rsidP="00000000" w:rsidRDefault="00000000" w:rsidRPr="00000000" w14:paraId="000000D2">
      <w:pPr>
        <w:pageBreakBefore w:val="0"/>
        <w:rPr>
          <w:rFonts w:ascii="Calibri" w:cs="Calibri" w:eastAsia="Calibri" w:hAnsi="Calibri"/>
        </w:rPr>
      </w:pPr>
      <w:r w:rsidDel="00000000" w:rsidR="00000000" w:rsidRPr="00000000">
        <w:rPr>
          <w:rFonts w:ascii="Calibri" w:cs="Calibri" w:eastAsia="Calibri" w:hAnsi="Calibri"/>
          <w:rtl w:val="0"/>
        </w:rPr>
        <w:t xml:space="preserve">For GT students in VPA it is important to provide as many opportunities as possible for self-directed work that supports a student’s natural interests.  Students may benefit from being afforded space to push boundaries in art in a safe space, where they can explore the furthest reaches of their artistic talent under the protection of the school.  Students can also benefit from preparing for and engaging in public presentation or display or art, experiencing critique, providing critique, and analyzing artistic contributions.</w:t>
      </w:r>
    </w:p>
    <w:p w:rsidR="00000000" w:rsidDel="00000000" w:rsidP="00000000" w:rsidRDefault="00000000" w:rsidRPr="00000000" w14:paraId="000000D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D4">
      <w:pPr>
        <w:pageBreakBefore w:val="0"/>
        <w:rPr>
          <w:b w:val="1"/>
          <w:sz w:val="28"/>
          <w:szCs w:val="28"/>
        </w:rPr>
      </w:pPr>
      <w:hyperlink r:id="rId30">
        <w:r w:rsidDel="00000000" w:rsidR="00000000" w:rsidRPr="00000000">
          <w:rPr>
            <w:rFonts w:ascii="Calibri" w:cs="Calibri" w:eastAsia="Calibri" w:hAnsi="Calibri"/>
            <w:color w:val="1155cc"/>
            <w:u w:val="single"/>
            <w:rtl w:val="0"/>
          </w:rPr>
          <w:t xml:space="preserve">The Davidson Gifted Database: Arts </w:t>
        </w:r>
      </w:hyperlink>
      <w:r w:rsidDel="00000000" w:rsidR="00000000" w:rsidRPr="00000000">
        <w:rPr>
          <w:rFonts w:ascii="Calibri" w:cs="Calibri" w:eastAsia="Calibri" w:hAnsi="Calibri"/>
          <w:rtl w:val="0"/>
        </w:rPr>
        <w:t xml:space="preserve">and </w:t>
      </w:r>
      <w:hyperlink r:id="rId31">
        <w:r w:rsidDel="00000000" w:rsidR="00000000" w:rsidRPr="00000000">
          <w:rPr>
            <w:rFonts w:ascii="Calibri" w:cs="Calibri" w:eastAsia="Calibri" w:hAnsi="Calibri"/>
            <w:color w:val="1155cc"/>
            <w:u w:val="single"/>
            <w:rtl w:val="0"/>
          </w:rPr>
          <w:t xml:space="preserve">Music</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provides many links to lessons, projects, assessments, and materials for GT students in visual art and music--  there are also plenty of materials for parents and families of GT students in order to better develop supportive parent partnerships for GT students.  </w:t>
      </w:r>
      <w:r w:rsidDel="00000000" w:rsidR="00000000" w:rsidRPr="00000000">
        <w:fldChar w:fldCharType="begin"/>
        <w:instrText xml:space="preserve"> HYPERLINK "http://www.njagc.org/" </w:instrText>
        <w:fldChar w:fldCharType="separate"/>
      </w:r>
      <w:r w:rsidDel="00000000" w:rsidR="00000000" w:rsidRPr="00000000">
        <w:rPr>
          <w:rtl w:val="0"/>
        </w:rPr>
      </w:r>
      <w:r w:rsidDel="00000000" w:rsidR="00000000" w:rsidRPr="00000000">
        <w:fldChar w:fldCharType="end"/>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tate.nj.us/education/archive/frameworks/arts/chap5.pdf" TargetMode="External"/><Relationship Id="rId22" Type="http://schemas.openxmlformats.org/officeDocument/2006/relationships/hyperlink" Target="http://www.udlcenter.org/" TargetMode="External"/><Relationship Id="rId21" Type="http://schemas.openxmlformats.org/officeDocument/2006/relationships/hyperlink" Target="http://www.cast.org/our-work/about-udl.html#.VrJILjYrLzI" TargetMode="External"/><Relationship Id="rId24" Type="http://schemas.openxmlformats.org/officeDocument/2006/relationships/image" Target="media/image3.png"/><Relationship Id="rId23" Type="http://schemas.openxmlformats.org/officeDocument/2006/relationships/hyperlink" Target="http://udltheorypractice.cast.org/home?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26" Type="http://schemas.openxmlformats.org/officeDocument/2006/relationships/hyperlink" Target="http://www.nagc.org/resources-publications/gifted-education-practices/what-it-means-teach-gifted-learners-well" TargetMode="External"/><Relationship Id="rId25" Type="http://schemas.openxmlformats.org/officeDocument/2006/relationships/image" Target="media/image1.png"/><Relationship Id="rId28" Type="http://schemas.openxmlformats.org/officeDocument/2006/relationships/hyperlink" Target="https://www.nagc.org/" TargetMode="External"/><Relationship Id="rId27" Type="http://schemas.openxmlformats.org/officeDocument/2006/relationships/hyperlink" Target="http://www.nsgt.org/"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www.njagc.org/" TargetMode="External"/><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 Id="rId31" Type="http://schemas.openxmlformats.org/officeDocument/2006/relationships/hyperlink" Target="https://www.davidsongifted.org/Search-Database/topic/105195/entryType/1" TargetMode="External"/><Relationship Id="rId30" Type="http://schemas.openxmlformats.org/officeDocument/2006/relationships/hyperlink" Target="https://www.davidsongifted.org/Search-Database/topic/105196/entryType/1" TargetMode="External"/><Relationship Id="rId11" Type="http://schemas.openxmlformats.org/officeDocument/2006/relationships/hyperlink" Target="https://aae.boisestate.edu/know-your-learning-style/" TargetMode="External"/><Relationship Id="rId10" Type="http://schemas.openxmlformats.org/officeDocument/2006/relationships/image" Target="media/image2.png"/><Relationship Id="rId13" Type="http://schemas.openxmlformats.org/officeDocument/2006/relationships/image" Target="media/image6.png"/><Relationship Id="rId12" Type="http://schemas.openxmlformats.org/officeDocument/2006/relationships/image" Target="media/image5.png"/><Relationship Id="rId15" Type="http://schemas.openxmlformats.org/officeDocument/2006/relationships/hyperlink" Target="http://community.cec.sped.org/darts/new-item2" TargetMode="External"/><Relationship Id="rId14" Type="http://schemas.openxmlformats.org/officeDocument/2006/relationships/hyperlink" Target="http://education.kennedy-center.org/pdf/Professional_Papers_Vol_1.pdf" TargetMode="External"/><Relationship Id="rId17" Type="http://schemas.openxmlformats.org/officeDocument/2006/relationships/hyperlink" Target="https://www.state.nj.us/education/archive/frameworks/arts/chap5.pdf" TargetMode="External"/><Relationship Id="rId16" Type="http://schemas.openxmlformats.org/officeDocument/2006/relationships/hyperlink" Target="https://www.arteducators.org/search?topic=special-needs" TargetMode="External"/><Relationship Id="rId19" Type="http://schemas.openxmlformats.org/officeDocument/2006/relationships/image" Target="media/image4.png"/><Relationship Id="rId18"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