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Social Studies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K-2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basic features of a digital device and explain its purpose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8.1.2.A.2</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using a word processing application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8.1.2.A.3</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the common uses of at least two different digital applications and identify the advantages and disadvantages of using each.</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8.1.2.A.4</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developmentally appropriate navigation skills in virtual environments (i.e. games, museums).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8.1.2.A.5</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spreadsheet and sort the information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8.1.2.A.6</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structure and components of a database.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8.1.2.A.7</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database or spreadsheet and filter the information</w:t>
            </w:r>
            <w:r w:rsidDel="00000000" w:rsidR="00000000" w:rsidRPr="00000000">
              <w:rPr>
                <w:rtl w:val="0"/>
              </w:rPr>
            </w:r>
          </w:p>
        </w:tc>
      </w:tr>
      <w:tr>
        <w:trPr>
          <w:cantSplit w:val="0"/>
          <w:tblHeader w:val="0"/>
        </w:trPr>
        <w:tc>
          <w:tcPr>
            <w:gridSpan w:val="4"/>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Waterford Institute</w:t>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8.1.2.B.1</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80">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81">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flipcams to capture photographs or videos</w:t>
            </w:r>
          </w:p>
          <w:p w:rsidR="00000000" w:rsidDel="00000000" w:rsidP="00000000" w:rsidRDefault="00000000" w:rsidRPr="00000000" w14:paraId="00000082">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flipcam images to create a story using Google Applications.</w:t>
            </w:r>
          </w:p>
          <w:p w:rsidR="00000000" w:rsidDel="00000000" w:rsidP="00000000" w:rsidRDefault="00000000" w:rsidRPr="00000000" w14:paraId="00000083">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84">
            <w:pPr>
              <w:pageBreakBefore w:val="0"/>
              <w:numPr>
                <w:ilvl w:val="0"/>
                <w:numId w:val="3"/>
              </w:numP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use digital apps to create live cartoons using Toontastic or photographing pages from a book and recording the reading of pages using Story Kit.</w:t>
            </w:r>
            <w:r w:rsidDel="00000000" w:rsidR="00000000" w:rsidRPr="00000000">
              <w:rPr>
                <w:rtl w:val="0"/>
              </w:rPr>
            </w:r>
          </w:p>
        </w:tc>
      </w:tr>
    </w:tbl>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8.1.2.C.1</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4">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Skype to partner with classrooms abroad and engage in discussion</w:t>
            </w:r>
          </w:p>
          <w:p w:rsidR="00000000" w:rsidDel="00000000" w:rsidP="00000000" w:rsidRDefault="00000000" w:rsidRPr="00000000" w14:paraId="000000B5">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collaborative and/or competitive interactive digital games for learning</w:t>
            </w:r>
          </w:p>
          <w:p w:rsidR="00000000" w:rsidDel="00000000" w:rsidP="00000000" w:rsidRDefault="00000000" w:rsidRPr="00000000" w14:paraId="000000B6">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B7">
            <w:pPr>
              <w:pageBreakBefore w:val="0"/>
              <w:numPr>
                <w:ilvl w:val="0"/>
                <w:numId w:val="4"/>
              </w:numP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Podcasts for kids (Radio WIllow Web, Wild Animal Chronicles, Children’s Fun Storytime, Poem of the Day, The Science Show for Kids, Bookwink) to follow current events and engage in literature discussions.</w:t>
            </w:r>
            <w:r w:rsidDel="00000000" w:rsidR="00000000" w:rsidRPr="00000000">
              <w:rPr>
                <w:rtl w:val="0"/>
              </w:rPr>
            </w:r>
          </w:p>
        </w:tc>
      </w:tr>
    </w:tbl>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8.1.2.D.1</w:t>
            </w: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p>
          <w:p w:rsidR="00000000" w:rsidDel="00000000" w:rsidP="00000000" w:rsidRDefault="00000000" w:rsidRPr="00000000" w14:paraId="000000D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w:t>
            </w:r>
          </w:p>
          <w:p w:rsidR="00000000" w:rsidDel="00000000" w:rsidP="00000000" w:rsidRDefault="00000000" w:rsidRPr="00000000" w14:paraId="000000D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D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w:t>
            </w:r>
            <w:hyperlink r:id="rId6">
              <w:r w:rsidDel="00000000" w:rsidR="00000000" w:rsidRPr="00000000">
                <w:rPr>
                  <w:rFonts w:ascii="Calibri" w:cs="Calibri" w:eastAsia="Calibri" w:hAnsi="Calibri"/>
                  <w:color w:val="0000ff"/>
                  <w:sz w:val="20"/>
                  <w:szCs w:val="20"/>
                  <w:u w:val="single"/>
                  <w:rtl w:val="0"/>
                </w:rPr>
                <w:t xml:space="preserve">https://www.commonsensemedia.org/videos/copyright-and-fair-use-animation</w:t>
              </w:r>
            </w:hyperlink>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r w:rsidDel="00000000" w:rsidR="00000000" w:rsidRPr="00000000">
              <w:fldChar w:fldCharType="end"/>
            </w:r>
          </w:p>
        </w:tc>
      </w:tr>
    </w:tb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r w:rsidDel="00000000" w:rsidR="00000000" w:rsidRPr="00000000">
        <w:fldChar w:fldCharType="end"/>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Locate, organize, analyze, evaluate, synthesize, and ethically use information from a variety of sources and media. 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digital tools and online resources to explore a problem or issue.</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p>
          <w:p w:rsidR="00000000" w:rsidDel="00000000" w:rsidP="00000000" w:rsidRDefault="00000000" w:rsidRPr="00000000" w14:paraId="0000010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Plan and manage activities to develop a solution or complete a project. Collect and analyze data to identify solutions and/or make informed decisions. 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geographic mapping tools to plan and solve problems.</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(including maps) to guide thinking about problems and how to solve them</w:t>
            </w:r>
          </w:p>
        </w:tc>
      </w:tr>
    </w:tbl>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8.2.2.A.1</w:t>
            </w: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Define products produced as a result of technology or of nature</w:t>
            </w: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8.2.2.A.2</w:t>
            </w: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designed products and systems are useful at school, home and work</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8.2.2.A.3</w:t>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 system and the components that work together to accomplish its purpose.</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8.2.2.A.4</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Choose a product to make and plan the tools and materials needed.</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8.2.2.A.5</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design a solution to a problem affecting the community.</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A">
            <w:pPr>
              <w:pageBreakBefore w:val="0"/>
              <w:numPr>
                <w:ilvl w:val="0"/>
                <w:numId w:val="1"/>
              </w:numP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Consider how design of human civilization affects the environment and vice versa </w:t>
            </w:r>
          </w:p>
          <w:p w:rsidR="00000000" w:rsidDel="00000000" w:rsidP="00000000" w:rsidRDefault="00000000" w:rsidRPr="00000000" w14:paraId="0000015B">
            <w:pPr>
              <w:pageBreakBefore w:val="0"/>
              <w:numPr>
                <w:ilvl w:val="0"/>
                <w:numId w:val="1"/>
              </w:numP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Manipulatives in math lessons provide opportunity to design, plan, develop, and use  </w:t>
            </w:r>
          </w:p>
          <w:p w:rsidR="00000000" w:rsidDel="00000000" w:rsidP="00000000" w:rsidRDefault="00000000" w:rsidRPr="00000000" w14:paraId="0000015C">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objects for a purpose (understanding abstract math)</w:t>
            </w:r>
          </w:p>
          <w:p w:rsidR="00000000" w:rsidDel="00000000" w:rsidP="00000000" w:rsidRDefault="00000000" w:rsidRPr="00000000" w14:paraId="0000015D">
            <w:pPr>
              <w:pageBreakBefore w:val="0"/>
              <w:numPr>
                <w:ilvl w:val="0"/>
                <w:numId w:val="1"/>
              </w:numP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Understanding of local community and design of key features like parks, roads, etc. </w:t>
            </w:r>
          </w:p>
          <w:p w:rsidR="00000000" w:rsidDel="00000000" w:rsidP="00000000" w:rsidRDefault="00000000" w:rsidRPr="00000000" w14:paraId="0000015E">
            <w:pPr>
              <w:pageBreakBefore w:val="0"/>
              <w:numPr>
                <w:ilvl w:val="0"/>
                <w:numId w:val="1"/>
              </w:numP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Administer project-based learning projects that is based around a driving question, a </w:t>
            </w:r>
          </w:p>
          <w:p w:rsidR="00000000" w:rsidDel="00000000" w:rsidP="00000000" w:rsidRDefault="00000000" w:rsidRPr="00000000" w14:paraId="0000015F">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problem, or a product.  Use multimedia resources in order to answer the question, solve   </w:t>
            </w:r>
          </w:p>
          <w:p w:rsidR="00000000" w:rsidDel="00000000" w:rsidP="00000000" w:rsidRDefault="00000000" w:rsidRPr="00000000" w14:paraId="00000160">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the problem, or to create the product.  (Earth conservation, community responsibility,    </w:t>
            </w:r>
          </w:p>
          <w:p w:rsidR="00000000" w:rsidDel="00000000" w:rsidP="00000000" w:rsidRDefault="00000000" w:rsidRPr="00000000" w14:paraId="00000161">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etc).  </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100" w:before="0" w:lineRule="auto"/>
              <w:ind w:left="1080"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8.2.2.B.1</w:t>
            </w: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8.2.2.B.2</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8.2.2.B.3</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products or systems that are designed to meet human needs.</w:t>
            </w: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8.2.2.B.4</w:t>
            </w: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the ways people live and work has changed because of technology.</w:t>
            </w: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9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9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9A">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human impact on environment</w:t>
            </w:r>
          </w:p>
          <w:p w:rsidR="00000000" w:rsidDel="00000000" w:rsidP="00000000" w:rsidRDefault="00000000" w:rsidRPr="00000000" w14:paraId="0000019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importance of recycling and sustainability</w:t>
            </w:r>
          </w:p>
          <w:p w:rsidR="00000000" w:rsidDel="00000000" w:rsidP="00000000" w:rsidRDefault="00000000" w:rsidRPr="00000000" w14:paraId="0000019C">
            <w:pPr>
              <w:pageBreakBefore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technology.  Students will become aware of the convenience of technology, as well as </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10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become aware of good digital responsibility</w:t>
            </w:r>
          </w:p>
        </w:tc>
      </w:tr>
    </w:tbl>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tc>
      </w:tr>
      <w:tr>
        <w:trPr>
          <w:cantSplit w:val="0"/>
          <w:tblHeader w:val="0"/>
        </w:trPr>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8.2.2.C.1</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Brainstorm ideas on how to solve a problem or build a product.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8.2.2.C.2</w:t>
            </w:r>
            <w:r w:rsidDel="00000000" w:rsidR="00000000" w:rsidRPr="00000000">
              <w:rPr>
                <w:rtl w:val="0"/>
              </w:rPr>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drawing of a product or device that communicates its function to peers and discuss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8.2.2.C.3</w:t>
            </w: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why we need to make new products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8.2.2.C.4</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designed products and brainstorm how to improve one used in the classroom</w:t>
            </w: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8.2.2.C.5</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the parts of a common toy or tool interact and work as part of a system.</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8.2.2.C.6</w:t>
            </w: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product that has stopped working and brainstorm ideas to correct the problem.</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D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1D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1D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tc>
      </w:tr>
    </w:tbl>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8.2.2.D.1</w:t>
            </w: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8.2.2.D.2</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8.2.2.D.3</w:t>
            </w: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8.2.2.D.4</w:t>
            </w: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8.2.2.D.5</w:t>
            </w: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1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1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1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problem, or a product.  Use multimedia resources in order to answer the question, solve </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the problem, or to create the product.  (Earth conservation, community responsibility, </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creating team-building games, etc). </w:t>
            </w:r>
          </w:p>
        </w:tc>
      </w:tr>
    </w:tbl>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8.2.2.E.1</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List and demonstrate the steps to an everyday task.</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8.2.2.E.2</w:t>
            </w: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how a computer takes input through a series of written commands and then interprets and displays information as output.</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8.2.2.E.3</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algorithms (a sets of instructions) using a pre-defined set of commands (e.g., to move a student or a character through a maze).</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8.2.2.E.4</w:t>
            </w: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8.2.2.E.5</w:t>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basic vocabulary words: input, output, the operating system, debug, and algorithm).</w:t>
            </w: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6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academic critical thinking</w:t>
            </w:r>
          </w:p>
          <w:p w:rsidR="00000000" w:rsidDel="00000000" w:rsidP="00000000" w:rsidRDefault="00000000" w:rsidRPr="00000000" w14:paraId="00000262">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vocabulary for technical conversation</w:t>
            </w:r>
          </w:p>
          <w:p w:rsidR="00000000" w:rsidDel="00000000" w:rsidP="00000000" w:rsidRDefault="00000000" w:rsidRPr="00000000" w14:paraId="00000263">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Protocols for guiding student self-directedness with classroom procedures and </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academic critical thinking.</w:t>
            </w:r>
          </w:p>
        </w:tc>
      </w:tr>
    </w:tbl>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mmonsensemedia.org/videos/copyright-and-fair-use-ani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