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Social Studies </w:t>
      </w:r>
      <w:r w:rsidDel="00000000" w:rsidR="00000000" w:rsidRPr="00000000">
        <w:rPr>
          <w:b w:val="1"/>
          <w:sz w:val="32"/>
          <w:szCs w:val="32"/>
          <w:rtl w:val="0"/>
        </w:rPr>
        <w:t xml:space="preserve">Appendix A: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9z8o9hfby3l" w:id="1"/>
      <w:bookmarkEnd w:id="1"/>
      <w:r w:rsidDel="00000000" w:rsidR="00000000" w:rsidRPr="00000000">
        <w:rPr>
          <w:b w:val="1"/>
          <w:sz w:val="32"/>
          <w:szCs w:val="32"/>
          <w:rtl w:val="0"/>
        </w:rPr>
        <w:t xml:space="preserve">Accommodations and Modifications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4">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5">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6">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7">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A">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4">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5">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6">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7">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4">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5">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6">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7">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A">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8"/>
          <w:szCs w:val="28"/>
        </w:rPr>
        <w:drawing>
          <wp:inline distB="0" distT="0" distL="0" distR="0">
            <wp:extent cx="5486400" cy="5448522"/>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1207327</wp:posOffset>
                </wp:positionH>
                <wp:positionV relativeFrom="paragraph">
                  <wp:posOffset>114300</wp:posOffset>
                </wp:positionV>
                <wp:extent cx="2343150" cy="600075"/>
                <wp:effectExtent b="0" l="0" r="0" t="0"/>
                <wp:wrapTopAndBottom distB="114300" distT="114300"/>
                <wp:docPr id="1" name=""/>
                <a:graphic>
                  <a:graphicData uri="http://schemas.microsoft.com/office/word/2010/wordprocessingShape">
                    <wps:wsp>
                      <wps:cNvSpPr txBox="1"/>
                      <wps:cNvPr id="2" name="Shape 2"/>
                      <wps:spPr>
                        <a:xfrm>
                          <a:off x="1468900" y="986875"/>
                          <a:ext cx="2327400" cy="58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1207327</wp:posOffset>
                </wp:positionH>
                <wp:positionV relativeFrom="paragraph">
                  <wp:posOffset>114300</wp:posOffset>
                </wp:positionV>
                <wp:extent cx="2343150" cy="600075"/>
                <wp:effectExtent b="0" l="0" r="0" t="0"/>
                <wp:wrapTopAndBottom distB="114300" distT="114300"/>
                <wp:docPr id="1"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343150" cy="600075"/>
                        </a:xfrm>
                        <a:prstGeom prst="rect"/>
                        <a:ln/>
                      </pic:spPr>
                    </pic:pic>
                  </a:graphicData>
                </a:graphic>
              </wp:anchor>
            </w:drawing>
          </mc:Fallback>
        </mc:AlternateConten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4114800" cy="8401050"/>
            <wp:effectExtent b="0" l="0" r="0" t="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4114800" cy="840105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Social Studies </w:t>
      </w:r>
      <w:r w:rsidDel="00000000" w:rsidR="00000000" w:rsidRPr="00000000">
        <w:rPr>
          <w:b w:val="1"/>
          <w:sz w:val="32"/>
          <w:szCs w:val="32"/>
          <w:rtl w:val="0"/>
        </w:rPr>
        <w:t xml:space="preserve">Appendix B: </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Universal Design for Learning (UDL)</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6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6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6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4">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5">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16">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fldChar w:fldCharType="begin"/>
        <w:instrText xml:space="preserve"> HYPERLINK "http://udltheorypractice.cast.org/home?4" </w:instrText>
        <w:fldChar w:fldCharType="separate"/>
      </w:r>
      <w:r w:rsidDel="00000000" w:rsidR="00000000" w:rsidRPr="00000000">
        <w:rPr>
          <w:rFonts w:ascii="Calibri" w:cs="Calibri" w:eastAsia="Calibri" w:hAnsi="Calibri"/>
        </w:rPr>
        <w:drawing>
          <wp:inline distB="0" distT="0" distL="0" distR="0">
            <wp:extent cx="3444574" cy="2947988"/>
            <wp:effectExtent b="0" l="0" r="0" t="0"/>
            <wp:docPr id="5"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3444574" cy="2947988"/>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Social Studies Appendix C: Gifted and Talented</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19">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0">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1">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2">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2"/>
      <w:bookmarkEnd w:id="2"/>
      <w:r w:rsidDel="00000000" w:rsidR="00000000" w:rsidRPr="00000000">
        <w:fldChar w:fldCharType="end"/>
      </w:r>
      <w:r w:rsidDel="00000000" w:rsidR="00000000" w:rsidRPr="00000000">
        <w:rPr>
          <w:rtl w:val="0"/>
        </w:rPr>
        <w:t xml:space="preserve">Additional Info for GT Students in the Social Studies  Context</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BC">
      <w:pPr>
        <w:pageBreakBefore w:val="0"/>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For GT students in social studies it is important to provide as many opportunities as possible for self-directed work that supports a student’s natural interests.  Students may benefit from researching, writing about, applying, and evaluating  principles of leadership, government, civics, geography, economics, and other areas of social science.  Students should be encouraged, with supervision, to use online resources to interact, either virtually or with appropriate real-life co-participants, with  global partners. </w:t>
      </w:r>
    </w:p>
    <w:p w:rsidR="00000000" w:rsidDel="00000000" w:rsidP="00000000" w:rsidRDefault="00000000" w:rsidRPr="00000000" w14:paraId="000000B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rPr>
          <w:rFonts w:ascii="Calibri" w:cs="Calibri" w:eastAsia="Calibri" w:hAnsi="Calibri"/>
        </w:rPr>
      </w:pPr>
      <w:hyperlink r:id="rId23">
        <w:r w:rsidDel="00000000" w:rsidR="00000000" w:rsidRPr="00000000">
          <w:rPr>
            <w:rFonts w:ascii="Calibri" w:cs="Calibri" w:eastAsia="Calibri" w:hAnsi="Calibri"/>
            <w:color w:val="1155cc"/>
            <w:u w:val="single"/>
            <w:rtl w:val="0"/>
          </w:rPr>
          <w:t xml:space="preserve">The Davidson Gifted Database: Social Studies </w:t>
        </w:r>
      </w:hyperlink>
      <w:r w:rsidDel="00000000" w:rsidR="00000000" w:rsidRPr="00000000">
        <w:rPr>
          <w:rFonts w:ascii="Calibri" w:cs="Calibri" w:eastAsia="Calibri" w:hAnsi="Calibri"/>
          <w:rtl w:val="0"/>
        </w:rPr>
        <w:t xml:space="preserve"> provides many links to lessons, projects, assessments, and materials for GT students in social studies there are also plenty of materials for parents and families of GT students in order to better develop supportive parent partnerships for GT students.  Various online and distance learning opportunities are also catalogued; be sure to collaborate with building administration as you look to pursue opportunities outside the school for your GT students.</w:t>
      </w:r>
      <w:r w:rsidDel="00000000" w:rsidR="00000000" w:rsidRPr="00000000">
        <w:fldChar w:fldCharType="begin"/>
        <w:instrText xml:space="preserve"> HYPERLINK "http://www.njagc.org/" </w:instrText>
        <w:fldChar w:fldCharType="separate"/>
      </w:r>
      <w:r w:rsidDel="00000000" w:rsidR="00000000" w:rsidRPr="00000000">
        <w:rPr>
          <w:rtl w:val="0"/>
        </w:rPr>
      </w:r>
      <w:r w:rsidDel="00000000" w:rsidR="00000000" w:rsidRPr="00000000">
        <w:fldChar w:fldCharType="end"/>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sgt.org/" TargetMode="External"/><Relationship Id="rId11" Type="http://schemas.openxmlformats.org/officeDocument/2006/relationships/hyperlink" Target="https://aae.boisestate.edu/know-your-learning-style/" TargetMode="External"/><Relationship Id="rId22" Type="http://schemas.openxmlformats.org/officeDocument/2006/relationships/hyperlink" Target="http://www.njagc.org/" TargetMode="External"/><Relationship Id="rId10" Type="http://schemas.openxmlformats.org/officeDocument/2006/relationships/image" Target="media/image2.png"/><Relationship Id="rId21" Type="http://schemas.openxmlformats.org/officeDocument/2006/relationships/hyperlink" Target="https://www.nagc.org/" TargetMode="External"/><Relationship Id="rId13" Type="http://schemas.openxmlformats.org/officeDocument/2006/relationships/image" Target="media/image3.png"/><Relationship Id="rId12" Type="http://schemas.openxmlformats.org/officeDocument/2006/relationships/image" Target="media/image5.png"/><Relationship Id="rId23" Type="http://schemas.openxmlformats.org/officeDocument/2006/relationships/hyperlink" Target="http://www.davidsongifted.org/Search-Database/topic/105149/entryType/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15" Type="http://schemas.openxmlformats.org/officeDocument/2006/relationships/hyperlink" Target="http://www.udlcenter.org/" TargetMode="External"/><Relationship Id="rId14" Type="http://schemas.openxmlformats.org/officeDocument/2006/relationships/hyperlink" Target="http://www.cast.org/our-work/about-udl.html#.VrJILjYrLzI" TargetMode="External"/><Relationship Id="rId17" Type="http://schemas.openxmlformats.org/officeDocument/2006/relationships/image" Target="media/image4.png"/><Relationship Id="rId16" Type="http://schemas.openxmlformats.org/officeDocument/2006/relationships/hyperlink" Target="http://udltheorypractice.cast.org/home?4" TargetMode="External"/><Relationship Id="rId5" Type="http://schemas.openxmlformats.org/officeDocument/2006/relationships/numbering" Target="numbering.xml"/><Relationship Id="rId19" Type="http://schemas.openxmlformats.org/officeDocument/2006/relationships/hyperlink" Target="http://www.nagc.org/resources-publications/gifted-education-practices/what-it-means-teach-gifted-learners-well" TargetMode="External"/><Relationship Id="rId6" Type="http://schemas.openxmlformats.org/officeDocument/2006/relationships/styles" Target="styles.xml"/><Relationship Id="rId18" Type="http://schemas.openxmlformats.org/officeDocument/2006/relationships/image" Target="media/image1.png"/><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