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center"/>
        <w:rPr>
          <w:b w:val="1"/>
          <w:sz w:val="32"/>
          <w:szCs w:val="32"/>
        </w:rPr>
      </w:pPr>
      <w:bookmarkStart w:colFirst="0" w:colLast="0" w:name="_gjdgxs" w:id="0"/>
      <w:bookmarkEnd w:id="0"/>
      <w:r w:rsidDel="00000000" w:rsidR="00000000" w:rsidRPr="00000000">
        <w:rPr>
          <w:b w:val="1"/>
          <w:sz w:val="32"/>
          <w:szCs w:val="32"/>
          <w:rtl w:val="0"/>
        </w:rPr>
        <w:t xml:space="preserve">Science </w:t>
      </w:r>
      <w:r w:rsidDel="00000000" w:rsidR="00000000" w:rsidRPr="00000000">
        <w:rPr>
          <w:b w:val="1"/>
          <w:sz w:val="32"/>
          <w:szCs w:val="32"/>
          <w:rtl w:val="0"/>
        </w:rPr>
        <w:t xml:space="preserve">Appendix A: Accommodations and Modifications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for Special Education Students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general, special education students are expected to perform to the same standards as general education students.  They are typically subject to the same state accountability measures, testing requirements, curricular expectations, and graduation requirements as their general education counterparts.  Given this, special education students should be taught the standard written curriculum as much as possible, with consideration to accommodations and modification written in the student’s Individualized Educational Plan (IEP).</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Some exceptions apply, however.  Some students with significant disabilities are exempted from testing and accountability requirements.  Others must be provided with modified and/or accommodated materials, tests, or instructional practices.  These modifications and accommodations are typically outlined in the student’s IEP.  However, teachers of special education students are encouraged and expected to use any instructional practice that will help a student master material.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Key Definitions</w:t>
      </w:r>
      <w:r w:rsidDel="00000000" w:rsidR="00000000" w:rsidRPr="00000000">
        <w:rPr>
          <w:b w:val="1"/>
          <w:sz w:val="28"/>
          <w:szCs w:val="28"/>
          <w:u w:val="single"/>
          <w:vertAlign w:val="superscript"/>
        </w:rPr>
        <w:footnoteReference w:customMarkFollows="0" w:id="0"/>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Accommodations</w:t>
      </w:r>
    </w:p>
    <w:p w:rsidR="00000000" w:rsidDel="00000000" w:rsidP="00000000" w:rsidRDefault="00000000" w:rsidRPr="00000000" w14:paraId="0000000B">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Accommodations are “intended to lessen the effects of a student’s disability,” and provide </w:t>
      </w:r>
      <w:r w:rsidDel="00000000" w:rsidR="00000000" w:rsidRPr="00000000">
        <w:rPr>
          <w:rFonts w:ascii="Cambria" w:cs="Cambria" w:eastAsia="Cambria" w:hAnsi="Cambria"/>
          <w:b w:val="0"/>
          <w:i w:val="1"/>
          <w:sz w:val="24"/>
          <w:szCs w:val="24"/>
          <w:rtl w:val="0"/>
        </w:rPr>
        <w:t xml:space="preserve">access</w:t>
      </w:r>
      <w:r w:rsidDel="00000000" w:rsidR="00000000" w:rsidRPr="00000000">
        <w:rPr>
          <w:rFonts w:ascii="Cambria" w:cs="Cambria" w:eastAsia="Cambria" w:hAnsi="Cambria"/>
          <w:b w:val="0"/>
          <w:sz w:val="24"/>
          <w:szCs w:val="24"/>
          <w:rtl w:val="0"/>
        </w:rPr>
        <w:t xml:space="preserve"> to the general education curriculum. They do not result in changed expectations for the child, and do not significantly change or reduce curricular or assessment expectations, although the </w:t>
      </w:r>
      <w:r w:rsidDel="00000000" w:rsidR="00000000" w:rsidRPr="00000000">
        <w:rPr>
          <w:rFonts w:ascii="Cambria" w:cs="Cambria" w:eastAsia="Cambria" w:hAnsi="Cambria"/>
          <w:b w:val="0"/>
          <w:i w:val="1"/>
          <w:sz w:val="24"/>
          <w:szCs w:val="24"/>
          <w:rtl w:val="0"/>
        </w:rPr>
        <w:t xml:space="preserve">environment</w:t>
      </w:r>
      <w:r w:rsidDel="00000000" w:rsidR="00000000" w:rsidRPr="00000000">
        <w:rPr>
          <w:rFonts w:ascii="Cambria" w:cs="Cambria" w:eastAsia="Cambria" w:hAnsi="Cambria"/>
          <w:b w:val="0"/>
          <w:sz w:val="24"/>
          <w:szCs w:val="24"/>
          <w:rtl w:val="0"/>
        </w:rPr>
        <w:t xml:space="preserve"> may be changed in these areas.</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include, </w:t>
      </w:r>
      <w:r w:rsidDel="00000000" w:rsidR="00000000" w:rsidRPr="00000000">
        <w:rPr>
          <w:rFonts w:ascii="Cambria" w:cs="Cambria" w:eastAsia="Cambria" w:hAnsi="Cambria"/>
          <w:b w:val="0"/>
          <w:i w:val="1"/>
          <w:sz w:val="24"/>
          <w:szCs w:val="24"/>
          <w:rtl w:val="0"/>
        </w:rPr>
        <w:t xml:space="preserve">but are not limited to</w:t>
      </w:r>
      <w:r w:rsidDel="00000000" w:rsidR="00000000" w:rsidRPr="00000000">
        <w:rPr>
          <w:rFonts w:ascii="Cambria" w:cs="Cambria" w:eastAsia="Cambria" w:hAnsi="Cambria"/>
          <w:b w:val="0"/>
          <w:sz w:val="24"/>
          <w:szCs w:val="24"/>
          <w:rtl w:val="0"/>
        </w:rPr>
        <w:t xml:space="preserve">, extra time, graphic organizers, extended time, scribes, etc.</w:t>
      </w:r>
      <w:r w:rsidDel="00000000" w:rsidR="00000000" w:rsidRPr="00000000">
        <w:rPr>
          <w:rtl w:val="0"/>
        </w:rPr>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Fonts w:ascii="Cambria" w:cs="Cambria" w:eastAsia="Cambria" w:hAnsi="Cambria"/>
          <w:b w:val="0"/>
          <w:sz w:val="24"/>
          <w:szCs w:val="24"/>
          <w:rtl w:val="0"/>
        </w:rPr>
        <w:t xml:space="preserve">Accommodations may be written into an IEP, but teachers are free to use accommodations to help students succeed as needed.  </w:t>
      </w:r>
      <w:r w:rsidDel="00000000" w:rsidR="00000000" w:rsidRPr="00000000">
        <w:rPr>
          <w:rFonts w:ascii="Cambria" w:cs="Cambria" w:eastAsia="Cambria" w:hAnsi="Cambria"/>
          <w:b w:val="0"/>
          <w:sz w:val="24"/>
          <w:szCs w:val="24"/>
          <w:u w:val="single"/>
          <w:rtl w:val="0"/>
        </w:rPr>
        <w:t xml:space="preserve">Teachers should use resources such as supervisors and/or LDTCs in this work.</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Modification</w:t>
      </w:r>
    </w:p>
    <w:p w:rsidR="00000000" w:rsidDel="00000000" w:rsidP="00000000" w:rsidRDefault="00000000" w:rsidRPr="00000000" w14:paraId="0000001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Cambria" w:cs="Cambria" w:eastAsia="Cambria" w:hAnsi="Cambria"/>
          <w:b w:val="0"/>
          <w:sz w:val="24"/>
          <w:szCs w:val="24"/>
          <w:rtl w:val="0"/>
        </w:rPr>
        <w:t xml:space="preserve">Modifications change what is expected of a student and should occur only when written into an IEP.  They are </w:t>
      </w:r>
      <w:r w:rsidDel="00000000" w:rsidR="00000000" w:rsidRPr="00000000">
        <w:rPr>
          <w:rFonts w:ascii="Cambria" w:cs="Cambria" w:eastAsia="Cambria" w:hAnsi="Cambria"/>
          <w:b w:val="0"/>
          <w:i w:val="1"/>
          <w:sz w:val="24"/>
          <w:szCs w:val="24"/>
          <w:rtl w:val="0"/>
        </w:rPr>
        <w:t xml:space="preserve">not</w:t>
      </w:r>
      <w:r w:rsidDel="00000000" w:rsidR="00000000" w:rsidRPr="00000000">
        <w:rPr>
          <w:rFonts w:ascii="Cambria" w:cs="Cambria" w:eastAsia="Cambria" w:hAnsi="Cambria"/>
          <w:b w:val="0"/>
          <w:sz w:val="24"/>
          <w:szCs w:val="24"/>
          <w:rtl w:val="0"/>
        </w:rPr>
        <w:t xml:space="preserve"> used at the teacher’s discretion.</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b w:val="1"/>
          <w:sz w:val="28"/>
          <w:szCs w:val="28"/>
          <w:u w:val="single"/>
        </w:rPr>
      </w:pPr>
      <w:r w:rsidDel="00000000" w:rsidR="00000000" w:rsidRPr="00000000">
        <w:rPr>
          <w:b w:val="1"/>
          <w:sz w:val="28"/>
          <w:szCs w:val="28"/>
          <w:u w:val="single"/>
          <w:rtl w:val="0"/>
        </w:rPr>
        <w:t xml:space="preserve">Teaching Students with Special Needs: Resources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sz w:val="28"/>
          <w:szCs w:val="28"/>
        </w:rPr>
      </w:pPr>
      <w:r w:rsidDel="00000000" w:rsidR="00000000" w:rsidRPr="00000000">
        <w:rPr>
          <w:rFonts w:ascii="Calibri" w:cs="Calibri" w:eastAsia="Calibri" w:hAnsi="Calibri"/>
          <w:b w:val="1"/>
          <w:i w:val="1"/>
          <w:sz w:val="28"/>
          <w:szCs w:val="28"/>
          <w:rtl w:val="0"/>
        </w:rPr>
        <w:t xml:space="preserve">                           Learning Styles</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1"/>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70"/>
        <w:gridCol w:w="6795"/>
        <w:tblGridChange w:id="0">
          <w:tblGrid>
            <w:gridCol w:w="2070"/>
            <w:gridCol w:w="6795"/>
          </w:tblGrid>
        </w:tblGridChange>
      </w:tblGrid>
      <w:tr>
        <w:trPr>
          <w:cantSplit w:val="0"/>
          <w:tblHeader w:val="0"/>
        </w:trPr>
        <w:tc>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Visual</w:t>
            </w:r>
          </w:p>
        </w:tc>
      </w:tr>
      <w:tr>
        <w:trPr>
          <w:cantSplit w:val="0"/>
          <w:tblHeader w:val="0"/>
        </w:trPr>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Fonts w:ascii="Calibri" w:cs="Calibri" w:eastAsia="Calibri" w:hAnsi="Calibri"/>
                <w:b w:val="0"/>
                <w:sz w:val="24"/>
                <w:szCs w:val="24"/>
                <w:rtl w:val="0"/>
              </w:rPr>
              <w:t xml:space="preserve">Preference for seen or observed things, including pictures, diagrams, demonstrations, displays, handouts, films, flip-charts, etc.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4"/>
                <w:szCs w:val="24"/>
              </w:rPr>
            </w:pP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Thinks in terms of “show me,” and “let’s have a look at that” and will be best able to perform a new task after reading the instructions or watching someone else do it first.</w:t>
            </w:r>
          </w:p>
        </w:tc>
      </w:tr>
      <w:tr>
        <w:trPr>
          <w:cantSplit w:val="0"/>
          <w:tblHeader w:val="0"/>
        </w:trPr>
        <w:tc>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23">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Use maps, flow charts, or webs to organize materials</w:t>
            </w:r>
          </w:p>
          <w:p w:rsidR="00000000" w:rsidDel="00000000" w:rsidP="00000000" w:rsidRDefault="00000000" w:rsidRPr="00000000" w14:paraId="00000024">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Highlight and color code books/notes to organize and relate material</w:t>
            </w:r>
          </w:p>
          <w:p w:rsidR="00000000" w:rsidDel="00000000" w:rsidP="00000000" w:rsidRDefault="00000000" w:rsidRPr="00000000" w14:paraId="00000025">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Have students pick out key words and ideas in their own writing and highlight them in different colors to reveal organization</w:t>
            </w:r>
          </w:p>
          <w:p w:rsidR="00000000" w:rsidDel="00000000" w:rsidP="00000000" w:rsidRDefault="00000000" w:rsidRPr="00000000" w14:paraId="00000026">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checklists of needed formulas, commonly misspelled words, etc.</w:t>
            </w:r>
          </w:p>
          <w:p w:rsidR="00000000" w:rsidDel="00000000" w:rsidP="00000000" w:rsidRDefault="00000000" w:rsidRPr="00000000" w14:paraId="00000027">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out and use flash cards for review of material</w:t>
            </w:r>
          </w:p>
          <w:p w:rsidR="00000000" w:rsidDel="00000000" w:rsidP="00000000" w:rsidRDefault="00000000" w:rsidRPr="00000000" w14:paraId="00000028">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Draw pictures or cartoons of concepts</w:t>
            </w:r>
          </w:p>
          <w:p w:rsidR="00000000" w:rsidDel="00000000" w:rsidP="00000000" w:rsidRDefault="00000000" w:rsidRPr="00000000" w14:paraId="00000029">
            <w:pPr>
              <w:pageBreakBefore w:val="0"/>
              <w:numPr>
                <w:ilvl w:val="0"/>
                <w:numId w:val="5"/>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Fonts w:ascii="Calibri" w:cs="Calibri" w:eastAsia="Calibri" w:hAnsi="Calibri"/>
                <w:rtl w:val="0"/>
              </w:rPr>
              <w:t xml:space="preserve">Write down material on slips of paper and move them around into proper sequence. (Can be done on PC too)</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2"/>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6750"/>
        <w:tblGridChange w:id="0">
          <w:tblGrid>
            <w:gridCol w:w="2115"/>
            <w:gridCol w:w="6750"/>
          </w:tblGrid>
        </w:tblGridChange>
      </w:tblGrid>
      <w:tr>
        <w:trPr>
          <w:cantSplit w:val="0"/>
          <w:tblHeader w:val="0"/>
        </w:trPr>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Auditory</w:t>
            </w:r>
          </w:p>
        </w:tc>
      </w:tr>
      <w:tr>
        <w:trPr>
          <w:cantSplit w:val="0"/>
          <w:tblHeader w:val="0"/>
        </w:trPr>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the transfer of information through listening: the spoken word, of self or others, of sounds and noises. </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‘tell me’, ‘let’s talk it over’ and will be best able to perform a new task after listening to instructions from an expert. </w:t>
            </w:r>
            <w:r w:rsidDel="00000000" w:rsidR="00000000" w:rsidRPr="00000000">
              <w:rPr>
                <w:rtl w:val="0"/>
              </w:rPr>
            </w:r>
          </w:p>
        </w:tc>
      </w:tr>
      <w:tr>
        <w:trPr>
          <w:cantSplit w:val="0"/>
          <w:tblHeader w:val="0"/>
        </w:trPr>
        <w:tc>
          <w:tcPr/>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33">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Engage the student in conversation about the subject </w:t>
            </w:r>
          </w:p>
          <w:p w:rsidR="00000000" w:rsidDel="00000000" w:rsidP="00000000" w:rsidRDefault="00000000" w:rsidRPr="00000000" w14:paraId="00000034">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Question students about the material</w:t>
            </w:r>
          </w:p>
          <w:p w:rsidR="00000000" w:rsidDel="00000000" w:rsidP="00000000" w:rsidRDefault="00000000" w:rsidRPr="00000000" w14:paraId="00000035">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for oral summaries of material</w:t>
            </w:r>
          </w:p>
          <w:p w:rsidR="00000000" w:rsidDel="00000000" w:rsidP="00000000" w:rsidRDefault="00000000" w:rsidRPr="00000000" w14:paraId="00000036">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lectures and review them with you</w:t>
            </w:r>
          </w:p>
          <w:p w:rsidR="00000000" w:rsidDel="00000000" w:rsidP="00000000" w:rsidRDefault="00000000" w:rsidRPr="00000000" w14:paraId="00000037">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Have them tape themselves reviewing material and listen to it together</w:t>
            </w:r>
          </w:p>
          <w:p w:rsidR="00000000" w:rsidDel="00000000" w:rsidP="00000000" w:rsidRDefault="00000000" w:rsidRPr="00000000" w14:paraId="00000038">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Read material aloud to them</w:t>
            </w:r>
          </w:p>
          <w:p w:rsidR="00000000" w:rsidDel="00000000" w:rsidP="00000000" w:rsidRDefault="00000000" w:rsidRPr="00000000" w14:paraId="00000039">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a talking calculator</w:t>
            </w:r>
            <w:r w:rsidDel="00000000" w:rsidR="00000000" w:rsidRPr="00000000">
              <w:rPr>
                <w:rtl w:val="0"/>
              </w:rPr>
            </w:r>
          </w:p>
          <w:p w:rsidR="00000000" w:rsidDel="00000000" w:rsidP="00000000" w:rsidRDefault="00000000" w:rsidRPr="00000000" w14:paraId="0000003A">
            <w:pPr>
              <w:pageBreakBefore w:val="0"/>
              <w:numPr>
                <w:ilvl w:val="0"/>
                <w:numId w:val="6"/>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them put material to a rhythm or tune and rehearse aloud</w:t>
            </w:r>
            <w:r w:rsidDel="00000000" w:rsidR="00000000" w:rsidRPr="00000000">
              <w:rPr>
                <w:rtl w:val="0"/>
              </w:rPr>
            </w:r>
          </w:p>
        </w:tc>
      </w:tr>
    </w:tbl>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tbl>
      <w:tblPr>
        <w:tblStyle w:val="Table3"/>
        <w:tblW w:w="886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6705"/>
        <w:tblGridChange w:id="0">
          <w:tblGrid>
            <w:gridCol w:w="2160"/>
            <w:gridCol w:w="6705"/>
          </w:tblGrid>
        </w:tblGridChange>
      </w:tblGrid>
      <w:tr>
        <w:trPr>
          <w:cantSplit w:val="0"/>
          <w:tblHeader w:val="0"/>
        </w:trPr>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Learning Style</w:t>
            </w:r>
          </w:p>
        </w:tc>
        <w:tc>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Kinesthetic</w:t>
            </w:r>
          </w:p>
        </w:tc>
      </w:tr>
      <w:tr>
        <w:trPr>
          <w:cantSplit w:val="0"/>
          <w:tblHeader w:val="0"/>
        </w:trPr>
        <w:tc>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Characteristics</w:t>
            </w:r>
          </w:p>
        </w:tc>
        <w:tc>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Fonts w:ascii="Calibri" w:cs="Calibri" w:eastAsia="Calibri" w:hAnsi="Calibri"/>
                <w:color w:val="000000"/>
                <w:rtl w:val="0"/>
              </w:rPr>
              <w:t xml:space="preserve">Preference for physical experience - touching, feeling, holding, doing, practical hands-on experiences. </w:t>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color w:val="000000"/>
                <w:rtl w:val="0"/>
              </w:rPr>
              <w:t xml:space="preserve">Use phrases such as ‘let me try’, ‘how do you feel?’ and will be best able to perform a new task by going ahead and trying it out, learning as they go. </w:t>
            </w:r>
            <w:r w:rsidDel="00000000" w:rsidR="00000000" w:rsidRPr="00000000">
              <w:rPr>
                <w:rtl w:val="0"/>
              </w:rPr>
            </w:r>
          </w:p>
        </w:tc>
      </w:tr>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rPr>
            </w:pPr>
            <w:r w:rsidDel="00000000" w:rsidR="00000000" w:rsidRPr="00000000">
              <w:rPr>
                <w:rFonts w:ascii="Calibri" w:cs="Calibri" w:eastAsia="Calibri" w:hAnsi="Calibri"/>
                <w:b w:val="1"/>
                <w:rtl w:val="0"/>
              </w:rPr>
              <w:t xml:space="preserve">Tips for Accommodating</w:t>
            </w:r>
          </w:p>
        </w:tc>
        <w:tc>
          <w:tcPr/>
          <w:p w:rsidR="00000000" w:rsidDel="00000000" w:rsidP="00000000" w:rsidRDefault="00000000" w:rsidRPr="00000000" w14:paraId="00000043">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Write out checklists of materials to be learned or looked for</w:t>
            </w:r>
          </w:p>
          <w:p w:rsidR="00000000" w:rsidDel="00000000" w:rsidP="00000000" w:rsidRDefault="00000000" w:rsidRPr="00000000" w14:paraId="00000044">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Trace words and diagrams on paper</w:t>
            </w:r>
          </w:p>
          <w:p w:rsidR="00000000" w:rsidDel="00000000" w:rsidP="00000000" w:rsidRDefault="00000000" w:rsidRPr="00000000" w14:paraId="00000045">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textured paper and experiment with different sizes of pens, pencils, and crayons to write down information</w:t>
            </w:r>
          </w:p>
          <w:p w:rsidR="00000000" w:rsidDel="00000000" w:rsidP="00000000" w:rsidRDefault="00000000" w:rsidRPr="00000000" w14:paraId="00000046">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Use role-play or dramatize concepts. Students can move objects around to dramatize a concept or act out the concept themselves.</w:t>
            </w:r>
          </w:p>
          <w:p w:rsidR="00000000" w:rsidDel="00000000" w:rsidP="00000000" w:rsidRDefault="00000000" w:rsidRPr="00000000" w14:paraId="00000047">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color w:val="000000"/>
              </w:rPr>
            </w:pPr>
            <w:r w:rsidDel="00000000" w:rsidR="00000000" w:rsidRPr="00000000">
              <w:rPr>
                <w:rFonts w:ascii="Calibri" w:cs="Calibri" w:eastAsia="Calibri" w:hAnsi="Calibri"/>
                <w:color w:val="000000"/>
                <w:rtl w:val="0"/>
              </w:rPr>
              <w:t xml:space="preserve">Ask the student to envision a scene in which the material to be learned is being used or acted out somehow.  For example: a student could imagine being a character in a novel.</w:t>
            </w:r>
          </w:p>
          <w:p w:rsidR="00000000" w:rsidDel="00000000" w:rsidP="00000000" w:rsidRDefault="00000000" w:rsidRPr="00000000" w14:paraId="00000048">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Have the student take notes (on paper, word processor, in textbooks) while reading or listening.</w:t>
            </w:r>
            <w:r w:rsidDel="00000000" w:rsidR="00000000" w:rsidRPr="00000000">
              <w:rPr>
                <w:rtl w:val="0"/>
              </w:rPr>
            </w:r>
          </w:p>
          <w:p w:rsidR="00000000" w:rsidDel="00000000" w:rsidP="00000000" w:rsidRDefault="00000000" w:rsidRPr="00000000" w14:paraId="00000049">
            <w:pPr>
              <w:pageBreakBefore w:val="0"/>
              <w:numPr>
                <w:ilvl w:val="0"/>
                <w:numId w:val="7"/>
              </w:numPr>
              <w:pBdr>
                <w:top w:space="0" w:sz="0" w:val="nil"/>
                <w:left w:space="0" w:sz="0" w:val="nil"/>
                <w:bottom w:space="0" w:sz="0" w:val="nil"/>
                <w:right w:space="0" w:sz="0" w:val="nil"/>
                <w:between w:space="0" w:sz="0" w:val="nil"/>
              </w:pBdr>
              <w:shd w:fill="auto" w:val="clear"/>
              <w:ind w:left="446" w:right="446" w:hanging="360"/>
              <w:rPr/>
            </w:pPr>
            <w:r w:rsidDel="00000000" w:rsidR="00000000" w:rsidRPr="00000000">
              <w:rPr>
                <w:rFonts w:ascii="Calibri" w:cs="Calibri" w:eastAsia="Calibri" w:hAnsi="Calibri"/>
                <w:color w:val="000000"/>
                <w:rtl w:val="0"/>
              </w:rPr>
              <w:t xml:space="preserve">Use some form of body movement (snapping fingers, pacing, mouthing ideas) while reciting material to be learned.</w:t>
            </w:r>
            <w:r w:rsidDel="00000000" w:rsidR="00000000" w:rsidRPr="00000000">
              <w:rPr>
                <w:rtl w:val="0"/>
              </w:rPr>
            </w:r>
          </w:p>
        </w:tc>
      </w:tr>
    </w:tbl>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i w:val="1"/>
          <w:sz w:val="20"/>
          <w:szCs w:val="20"/>
          <w:rtl w:val="0"/>
        </w:rPr>
        <w:t xml:space="preserve">Adapted from University of Massachusetts: Dartmouth</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i w:val="1"/>
          <w:sz w:val="20"/>
          <w:szCs w:val="20"/>
          <w:u w:val="single"/>
        </w:rPr>
      </w:pPr>
      <w:hyperlink r:id="rId7">
        <w:r w:rsidDel="00000000" w:rsidR="00000000" w:rsidRPr="00000000">
          <w:rPr>
            <w:i w:val="1"/>
            <w:color w:val="0000ff"/>
            <w:sz w:val="20"/>
            <w:szCs w:val="20"/>
            <w:u w:val="single"/>
            <w:rtl w:val="0"/>
          </w:rPr>
          <w:t xml:space="preserve">http://www.umassd.edu/dss/resources/facultystaff/howtoteachandaccommodate/howtoaccommodatedifferentlearningstyles/</w:t>
        </w:r>
      </w:hyperlink>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i w:val="1"/>
          <w:sz w:val="20"/>
          <w:szCs w:val="20"/>
          <w:u w:val="single"/>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fldChar w:fldCharType="end"/>
      </w:r>
      <w:r w:rsidDel="00000000" w:rsidR="00000000" w:rsidRPr="00000000">
        <w:fldChar w:fldCharType="begin"/>
        <w:instrText xml:space="preserve"> HYPERLINK "http://www.umassd.edu/dss/resources/facultystaff/howtoteachandaccommodate/howtoaccommodatedifferentlearningstyles/" </w:instrText>
        <w:fldChar w:fldCharType="separate"/>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Some research suggests that multiple intelligences may also affect how students learn.  Howard Gardner’s seminal work on this topic offers a good starting point to understanding how multiple intelligences can relate to student performance and teacher instructional decision-making.  </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sz w:val="28"/>
          <w:szCs w:val="28"/>
          <w:rtl w:val="0"/>
        </w:rPr>
        <w:t xml:space="preserve">Howard Gardner online: </w:t>
      </w:r>
      <w:hyperlink r:id="rId8">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An online guide to understanding multiple intelligences: </w:t>
      </w:r>
      <w:hyperlink r:id="rId9">
        <w:r w:rsidDel="00000000" w:rsidR="00000000" w:rsidRPr="00000000">
          <w:rPr>
            <w:color w:val="0000ff"/>
            <w:sz w:val="28"/>
            <w:szCs w:val="28"/>
            <w:u w:val="single"/>
            <w:rtl w:val="0"/>
          </w:rPr>
          <w:t xml:space="preserve">http://www.tecweb.org/styles/gardner.html</w:t>
        </w:r>
      </w:hyperlink>
      <w:r w:rsidDel="00000000" w:rsidR="00000000" w:rsidRPr="00000000">
        <w:fldChar w:fldCharType="begin"/>
        <w:instrText xml:space="preserve"> HYPERLINK "http://www.tecweb.org/styles/gardner.html" </w:instrText>
        <w:fldChar w:fldCharType="separate"/>
      </w: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rPr>
          <w:sz w:val="28"/>
          <w:szCs w:val="28"/>
          <w:rtl w:val="0"/>
        </w:rPr>
        <w:t xml:space="preserve">Also see the infographic on the following page:</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rPr>
          <w:sz w:val="28"/>
          <w:szCs w:val="28"/>
          <w:u w:val="single"/>
        </w:rPr>
      </w:pPr>
      <w:r w:rsidDel="00000000" w:rsidR="00000000" w:rsidRPr="00000000">
        <w:rPr>
          <w:rtl w:val="0"/>
        </w:rPr>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rPr>
          <w:i w:val="1"/>
          <w:sz w:val="20"/>
          <w:szCs w:val="20"/>
        </w:rPr>
      </w:pPr>
      <w:r w:rsidDel="00000000" w:rsidR="00000000" w:rsidRPr="00000000">
        <w:rPr>
          <w:sz w:val="28"/>
          <w:szCs w:val="28"/>
        </w:rPr>
        <w:drawing>
          <wp:inline distB="0" distT="0" distL="0" distR="0">
            <wp:extent cx="5486400" cy="5448522"/>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486400" cy="5448522"/>
                    </a:xfrm>
                    <a:prstGeom prst="rect"/>
                    <a:ln/>
                  </pic:spPr>
                </pic:pic>
              </a:graphicData>
            </a:graphic>
          </wp:inline>
        </w:drawing>
      </w:r>
      <w:r w:rsidDel="00000000" w:rsidR="00000000" w:rsidRPr="00000000">
        <w:rPr>
          <w:i w:val="1"/>
          <w:sz w:val="20"/>
          <w:szCs w:val="20"/>
          <w:rtl w:val="0"/>
        </w:rPr>
        <w:t xml:space="preserve">Image form Boise State University: </w:t>
      </w:r>
      <w:hyperlink r:id="rId11">
        <w:r w:rsidDel="00000000" w:rsidR="00000000" w:rsidRPr="00000000">
          <w:rPr>
            <w:i w:val="1"/>
            <w:color w:val="0000ff"/>
            <w:sz w:val="20"/>
            <w:szCs w:val="20"/>
            <w:u w:val="single"/>
            <w:rtl w:val="0"/>
          </w:rPr>
          <w:t xml:space="preserve">https://aae.boisestate.edu/know-your-learning-style/</w:t>
        </w:r>
      </w:hyperlink>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"https://aae.boisestate.edu/know-your-learning-style/" </w:instrText>
        <w:fldChar w:fldCharType="separate"/>
      </w: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61">
      <w:pPr>
        <w:pageBreakBefore w:val="0"/>
        <w:pBdr>
          <w:top w:color="auto" w:space="0" w:sz="0" w:val="none"/>
          <w:left w:color="auto" w:space="0" w:sz="0" w:val="none"/>
          <w:bottom w:color="auto" w:space="0" w:sz="0" w:val="none"/>
          <w:right w:color="auto" w:space="0" w:sz="0" w:val="none"/>
          <w:between w:color="auto" w:space="0" w:sz="0" w:val="none"/>
        </w:pBdr>
        <w:spacing w:after="220" w:lineRule="auto"/>
        <w:rPr>
          <w:rFonts w:ascii="Arial" w:cs="Arial" w:eastAsia="Arial" w:hAnsi="Arial"/>
          <w:i w:val="1"/>
          <w:color w:val="262626"/>
          <w:sz w:val="20"/>
          <w:szCs w:val="20"/>
        </w:rPr>
      </w:pPr>
      <w:r w:rsidDel="00000000" w:rsidR="00000000" w:rsidRPr="00000000">
        <w:rPr>
          <w:rFonts w:ascii="Arial" w:cs="Arial" w:eastAsia="Arial" w:hAnsi="Arial"/>
          <w:i w:val="1"/>
          <w:color w:val="262626"/>
          <w:sz w:val="20"/>
          <w:szCs w:val="20"/>
          <w:rtl w:val="0"/>
        </w:rPr>
        <w:t xml:space="preserve">Further recommendations from the National Science Teachers Association (NSTA):</w:t>
      </w:r>
    </w:p>
    <w:p w:rsidR="00000000" w:rsidDel="00000000" w:rsidP="00000000" w:rsidRDefault="00000000" w:rsidRPr="00000000" w14:paraId="00000062">
      <w:pPr>
        <w:pageBreakBefore w:val="0"/>
        <w:pBdr>
          <w:top w:color="auto" w:space="0" w:sz="0" w:val="none"/>
          <w:left w:color="auto" w:space="0" w:sz="0" w:val="none"/>
          <w:bottom w:color="auto" w:space="0" w:sz="0" w:val="none"/>
          <w:right w:color="auto" w:space="0" w:sz="0" w:val="none"/>
          <w:between w:color="auto" w:space="0" w:sz="0" w:val="none"/>
        </w:pBdr>
        <w:spacing w:after="220"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To overcome educational and physical barriers, NSTA recommends science teachers and administrators</w:t>
      </w:r>
    </w:p>
    <w:p w:rsidR="00000000" w:rsidDel="00000000" w:rsidP="00000000" w:rsidRDefault="00000000" w:rsidRPr="00000000" w14:paraId="00000063">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have appropriate assistance, such as instructional aides or sign language interpreters, available to students with exceptionalities so that they can master the science material;</w:t>
      </w:r>
    </w:p>
    <w:p w:rsidR="00000000" w:rsidDel="00000000" w:rsidP="00000000" w:rsidRDefault="00000000" w:rsidRPr="00000000" w14:paraId="00000064">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ensure that the instructional aides and tutors are competent to help students with exceptionalities learn science content;</w:t>
      </w:r>
    </w:p>
    <w:p w:rsidR="00000000" w:rsidDel="00000000" w:rsidP="00000000" w:rsidRDefault="00000000" w:rsidRPr="00000000" w14:paraId="00000065">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ensure that educational aids, such as computers and assistive technologies, are available to help students with exceptionalities learn the science material;</w:t>
      </w:r>
    </w:p>
    <w:p w:rsidR="00000000" w:rsidDel="00000000" w:rsidP="00000000" w:rsidRDefault="00000000" w:rsidRPr="00000000" w14:paraId="00000066">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provide literacy and mathematical tools to help students with exceptionalities access the science resources;</w:t>
      </w:r>
    </w:p>
    <w:p w:rsidR="00000000" w:rsidDel="00000000" w:rsidP="00000000" w:rsidRDefault="00000000" w:rsidRPr="00000000" w14:paraId="00000067">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ensure that the classroom and work stations are accessible to students with different kinds of exceptionalities, including physical, visual, and auditory;</w:t>
      </w:r>
    </w:p>
    <w:p w:rsidR="00000000" w:rsidDel="00000000" w:rsidP="00000000" w:rsidRDefault="00000000" w:rsidRPr="00000000" w14:paraId="00000068">
      <w:pPr>
        <w:pageBreakBefore w:val="0"/>
        <w:numPr>
          <w:ilvl w:val="0"/>
          <w:numId w:val="3"/>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ensure that the classroom and the work stations are safe for all students by making necessary accommodations, such as modifying counter height, adjusting lab groups as appropriate, and bringing in instructional assistants on an as-needed basis; and</w:t>
      </w:r>
    </w:p>
    <w:p w:rsidR="00000000" w:rsidDel="00000000" w:rsidP="00000000" w:rsidRDefault="00000000" w:rsidRPr="00000000" w14:paraId="00000069">
      <w:pPr>
        <w:pageBreakBefore w:val="0"/>
        <w:numPr>
          <w:ilvl w:val="0"/>
          <w:numId w:val="3"/>
        </w:numPr>
        <w:pBdr>
          <w:top w:color="auto" w:space="0" w:sz="0" w:val="none"/>
          <w:bottom w:color="auto" w:space="0" w:sz="0" w:val="none"/>
          <w:right w:color="auto" w:space="0" w:sz="0" w:val="none"/>
          <w:between w:color="auto" w:space="0" w:sz="0" w:val="none"/>
        </w:pBdr>
        <w:spacing w:after="220" w:lineRule="auto"/>
        <w:ind w:left="1060" w:hanging="360"/>
      </w:pPr>
      <w:r w:rsidDel="00000000" w:rsidR="00000000" w:rsidRPr="00000000">
        <w:rPr>
          <w:rFonts w:ascii="Arial" w:cs="Arial" w:eastAsia="Arial" w:hAnsi="Arial"/>
          <w:color w:val="262626"/>
          <w:sz w:val="20"/>
          <w:szCs w:val="20"/>
          <w:rtl w:val="0"/>
        </w:rPr>
        <w:t xml:space="preserve">ensure that high-stakes assessment tests are not used in a punitive way for students with exceptionalities and that positive decisions are made as a result of these tests.</w:t>
      </w:r>
    </w:p>
    <w:p w:rsidR="00000000" w:rsidDel="00000000" w:rsidP="00000000" w:rsidRDefault="00000000" w:rsidRPr="00000000" w14:paraId="0000006A">
      <w:pPr>
        <w:pageBreakBefore w:val="0"/>
        <w:pBdr>
          <w:top w:color="auto" w:space="0" w:sz="0" w:val="none"/>
          <w:left w:color="auto" w:space="0" w:sz="0" w:val="none"/>
          <w:bottom w:color="auto" w:space="0" w:sz="0" w:val="none"/>
          <w:right w:color="auto" w:space="0" w:sz="0" w:val="none"/>
          <w:between w:color="auto" w:space="0" w:sz="0" w:val="none"/>
        </w:pBdr>
        <w:spacing w:after="220"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To overcome barriers in the way assessment tools are developed and used with students with exceptionalities, NSTA recommends that science teachers, administrators, and evaluators</w:t>
      </w:r>
    </w:p>
    <w:p w:rsidR="00000000" w:rsidDel="00000000" w:rsidP="00000000" w:rsidRDefault="00000000" w:rsidRPr="00000000" w14:paraId="0000006B">
      <w:pPr>
        <w:pageBreakBefore w:val="0"/>
        <w:numPr>
          <w:ilvl w:val="0"/>
          <w:numId w:val="1"/>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design and implement varied kinds of assessment tools or models so that all students, regardless of their exceptionality, can be tested fairly and can communicate fully what they know and are able to do in science;</w:t>
      </w:r>
    </w:p>
    <w:p w:rsidR="00000000" w:rsidDel="00000000" w:rsidP="00000000" w:rsidRDefault="00000000" w:rsidRPr="00000000" w14:paraId="0000006C">
      <w:pPr>
        <w:pageBreakBefore w:val="0"/>
        <w:numPr>
          <w:ilvl w:val="0"/>
          <w:numId w:val="1"/>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provide administrative support for the development and use of a range of assessment tools that evaluate students with exceptionalities fairly; and</w:t>
      </w:r>
    </w:p>
    <w:p w:rsidR="00000000" w:rsidDel="00000000" w:rsidP="00000000" w:rsidRDefault="00000000" w:rsidRPr="00000000" w14:paraId="0000006D">
      <w:pPr>
        <w:pageBreakBefore w:val="0"/>
        <w:numPr>
          <w:ilvl w:val="0"/>
          <w:numId w:val="1"/>
        </w:numPr>
        <w:pBdr>
          <w:top w:color="auto" w:space="0" w:sz="0" w:val="none"/>
          <w:bottom w:color="auto" w:space="0" w:sz="0" w:val="none"/>
          <w:right w:color="auto" w:space="0" w:sz="0" w:val="none"/>
          <w:between w:color="auto" w:space="0" w:sz="0" w:val="none"/>
        </w:pBdr>
        <w:spacing w:after="220" w:lineRule="auto"/>
        <w:ind w:left="1060" w:hanging="360"/>
      </w:pPr>
      <w:r w:rsidDel="00000000" w:rsidR="00000000" w:rsidRPr="00000000">
        <w:rPr>
          <w:rFonts w:ascii="Arial" w:cs="Arial" w:eastAsia="Arial" w:hAnsi="Arial"/>
          <w:color w:val="262626"/>
          <w:sz w:val="20"/>
          <w:szCs w:val="20"/>
          <w:rtl w:val="0"/>
        </w:rPr>
        <w:t xml:space="preserve">work with individuals and agencies that administer high-stakes assessments to ensure that assessment scores are interpreted and used in ways that respect unique differences.</w:t>
      </w:r>
    </w:p>
    <w:p w:rsidR="00000000" w:rsidDel="00000000" w:rsidP="00000000" w:rsidRDefault="00000000" w:rsidRPr="00000000" w14:paraId="0000006E">
      <w:pPr>
        <w:pageBreakBefore w:val="0"/>
        <w:pBdr>
          <w:top w:color="auto" w:space="0" w:sz="0" w:val="none"/>
          <w:left w:color="auto" w:space="0" w:sz="0" w:val="none"/>
          <w:bottom w:color="auto" w:space="0" w:sz="0" w:val="none"/>
          <w:right w:color="auto" w:space="0" w:sz="0" w:val="none"/>
          <w:between w:color="auto" w:space="0" w:sz="0" w:val="none"/>
        </w:pBdr>
        <w:spacing w:after="220" w:lineRule="auto"/>
        <w:rPr>
          <w:rFonts w:ascii="Arial" w:cs="Arial" w:eastAsia="Arial" w:hAnsi="Arial"/>
          <w:color w:val="262626"/>
          <w:sz w:val="20"/>
          <w:szCs w:val="20"/>
        </w:rPr>
      </w:pPr>
      <w:r w:rsidDel="00000000" w:rsidR="00000000" w:rsidRPr="00000000">
        <w:rPr>
          <w:rFonts w:ascii="Arial" w:cs="Arial" w:eastAsia="Arial" w:hAnsi="Arial"/>
          <w:color w:val="262626"/>
          <w:sz w:val="20"/>
          <w:szCs w:val="20"/>
          <w:rtl w:val="0"/>
        </w:rPr>
        <w:t xml:space="preserve">In helping students prepare for careers, NSTA recommends that guidance counselors and science teachers</w:t>
      </w:r>
    </w:p>
    <w:p w:rsidR="00000000" w:rsidDel="00000000" w:rsidP="00000000" w:rsidRDefault="00000000" w:rsidRPr="00000000" w14:paraId="0000006F">
      <w:pPr>
        <w:pageBreakBefore w:val="0"/>
        <w:numPr>
          <w:ilvl w:val="0"/>
          <w:numId w:val="2"/>
        </w:numPr>
        <w:pBdr>
          <w:top w:color="auto" w:space="0" w:sz="0" w:val="none"/>
          <w:bottom w:color="auto" w:space="0" w:sz="0" w:val="none"/>
          <w:right w:color="auto" w:space="0" w:sz="0" w:val="none"/>
          <w:between w:color="auto" w:space="0" w:sz="0" w:val="none"/>
        </w:pBdr>
        <w:spacing w:after="0" w:afterAutospacing="0" w:lineRule="auto"/>
        <w:ind w:left="1060" w:hanging="360"/>
      </w:pPr>
      <w:r w:rsidDel="00000000" w:rsidR="00000000" w:rsidRPr="00000000">
        <w:rPr>
          <w:rFonts w:ascii="Arial" w:cs="Arial" w:eastAsia="Arial" w:hAnsi="Arial"/>
          <w:color w:val="262626"/>
          <w:sz w:val="20"/>
          <w:szCs w:val="20"/>
          <w:rtl w:val="0"/>
        </w:rPr>
        <w:t xml:space="preserve">encourage students with exceptionalities to consider science and science-related careers by exposing them to a range of school and community activities; and</w:t>
      </w:r>
    </w:p>
    <w:p w:rsidR="00000000" w:rsidDel="00000000" w:rsidP="00000000" w:rsidRDefault="00000000" w:rsidRPr="00000000" w14:paraId="00000070">
      <w:pPr>
        <w:pageBreakBefore w:val="0"/>
        <w:numPr>
          <w:ilvl w:val="0"/>
          <w:numId w:val="2"/>
        </w:numPr>
        <w:pBdr>
          <w:top w:color="auto" w:space="0" w:sz="0" w:val="none"/>
          <w:bottom w:color="auto" w:space="0" w:sz="0" w:val="none"/>
          <w:right w:color="auto" w:space="0" w:sz="0" w:val="none"/>
          <w:between w:color="auto" w:space="0" w:sz="0" w:val="none"/>
        </w:pBdr>
        <w:spacing w:after="220" w:lineRule="auto"/>
        <w:ind w:left="1060" w:hanging="360"/>
      </w:pPr>
      <w:r w:rsidDel="00000000" w:rsidR="00000000" w:rsidRPr="00000000">
        <w:rPr>
          <w:rFonts w:ascii="Arial" w:cs="Arial" w:eastAsia="Arial" w:hAnsi="Arial"/>
          <w:color w:val="262626"/>
          <w:sz w:val="20"/>
          <w:szCs w:val="20"/>
          <w:rtl w:val="0"/>
        </w:rPr>
        <w:t xml:space="preserve">provide students with exceptionalities with the most recent information about the kinds of opportunities available in the sciences.</w:t>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rFonts w:ascii="Arial" w:cs="Arial" w:eastAsia="Arial" w:hAnsi="Arial"/>
          <w:color w:val="262626"/>
          <w:sz w:val="20"/>
          <w:szCs w:val="20"/>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b w:val="1"/>
          <w:sz w:val="32"/>
          <w:szCs w:val="32"/>
          <w:rtl w:val="0"/>
        </w:rPr>
        <w:t xml:space="preserve">Science</w:t>
      </w:r>
      <w:r w:rsidDel="00000000" w:rsidR="00000000" w:rsidRPr="00000000">
        <w:rPr>
          <w:sz w:val="28"/>
          <w:szCs w:val="28"/>
          <w:rtl w:val="0"/>
        </w:rPr>
        <w:t xml:space="preserve"> </w:t>
      </w:r>
      <w:r w:rsidDel="00000000" w:rsidR="00000000" w:rsidRPr="00000000">
        <w:rPr>
          <w:b w:val="1"/>
          <w:sz w:val="32"/>
          <w:szCs w:val="32"/>
          <w:rtl w:val="0"/>
        </w:rPr>
        <w:t xml:space="preserve">Appendix B: Universal Design for Learning (UDL)</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One of the most research-supported instructional techniques for teaching struggling learners and students with various learning styles is through UDL.  UDL is organized around teacher creation of “choice menus” that offer students a range of tasks or assignments that are tagged with standard(s), learning style preferences, and more.  Teachers can then offer students the agency to choose their own route to mastering all of the standards for a particular lesson.  </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UDL is organized around providing multiple means for students in three areas: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engagement</w:t>
      </w:r>
      <w:r w:rsidDel="00000000" w:rsidR="00000000" w:rsidRPr="00000000">
        <w:rPr>
          <w:rtl w:val="0"/>
        </w:rPr>
      </w:r>
    </w:p>
    <w:p w:rsidR="00000000" w:rsidDel="00000000" w:rsidP="00000000" w:rsidRDefault="00000000" w:rsidRPr="00000000" w14:paraId="00000083">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representation</w:t>
      </w:r>
      <w:r w:rsidDel="00000000" w:rsidR="00000000" w:rsidRPr="00000000">
        <w:rPr>
          <w:rtl w:val="0"/>
        </w:rPr>
      </w:r>
    </w:p>
    <w:p w:rsidR="00000000" w:rsidDel="00000000" w:rsidP="00000000" w:rsidRDefault="00000000" w:rsidRPr="00000000" w14:paraId="00000084">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hanging="360"/>
        <w:rPr>
          <w:b w:val="0"/>
          <w:sz w:val="24"/>
          <w:szCs w:val="24"/>
        </w:rPr>
      </w:pPr>
      <w:r w:rsidDel="00000000" w:rsidR="00000000" w:rsidRPr="00000000">
        <w:rPr>
          <w:rFonts w:ascii="Calibri" w:cs="Calibri" w:eastAsia="Calibri" w:hAnsi="Calibri"/>
          <w:b w:val="0"/>
          <w:sz w:val="24"/>
          <w:szCs w:val="24"/>
          <w:rtl w:val="0"/>
        </w:rPr>
        <w:t xml:space="preserve">multiple means of </w:t>
      </w:r>
      <w:r w:rsidDel="00000000" w:rsidR="00000000" w:rsidRPr="00000000">
        <w:rPr>
          <w:rFonts w:ascii="Calibri" w:cs="Calibri" w:eastAsia="Calibri" w:hAnsi="Calibri"/>
          <w:b w:val="1"/>
          <w:sz w:val="24"/>
          <w:szCs w:val="24"/>
          <w:rtl w:val="0"/>
        </w:rPr>
        <w:t xml:space="preserve">action and expression</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infographic on the following page explains these topics more fully. </w:t>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CAST website contains an enormous variety of resources for understanding UDL and using it in classrooms.</w:t>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links below provide a wealth of UDL knowledge for teachers, administrators, parents, and students: </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CAST: </w:t>
      </w:r>
      <w:hyperlink r:id="rId12">
        <w:r w:rsidDel="00000000" w:rsidR="00000000" w:rsidRPr="00000000">
          <w:rPr>
            <w:rFonts w:ascii="Calibri" w:cs="Calibri" w:eastAsia="Calibri" w:hAnsi="Calibri"/>
            <w:color w:val="0000ff"/>
            <w:u w:val="single"/>
            <w:rtl w:val="0"/>
          </w:rPr>
          <w:t xml:space="preserve">http://www.cast.org/our-work/about-udl.html#.VrJILjYrLzI</w:t>
        </w:r>
      </w:hyperlink>
      <w:r w:rsidDel="00000000" w:rsidR="00000000" w:rsidRPr="00000000">
        <w:fldChar w:fldCharType="begin"/>
        <w:instrText xml:space="preserve"> HYPERLINK "http://www.cast.org/our-work/about-udl.html#.VrJILjYrLzI" </w:instrText>
        <w:fldChar w:fldCharType="separate"/>
      </w: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Center for UDL: </w:t>
      </w:r>
      <w:hyperlink r:id="rId13">
        <w:r w:rsidDel="00000000" w:rsidR="00000000" w:rsidRPr="00000000">
          <w:rPr>
            <w:rFonts w:ascii="Calibri" w:cs="Calibri" w:eastAsia="Calibri" w:hAnsi="Calibri"/>
            <w:color w:val="0000ff"/>
            <w:u w:val="single"/>
            <w:rtl w:val="0"/>
          </w:rPr>
          <w:t xml:space="preserve">http://www.udlcenter.org/</w:t>
        </w:r>
      </w:hyperlink>
      <w:r w:rsidDel="00000000" w:rsidR="00000000" w:rsidRPr="00000000">
        <w:fldChar w:fldCharType="begin"/>
        <w:instrText xml:space="preserve"> HYPERLINK "http://www.udlcenter.org/" </w:instrText>
        <w:fldChar w:fldCharType="separate"/>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UDL Theory and Practice: </w:t>
      </w:r>
      <w:hyperlink r:id="rId14">
        <w:r w:rsidDel="00000000" w:rsidR="00000000" w:rsidRPr="00000000">
          <w:rPr>
            <w:rFonts w:ascii="Calibri" w:cs="Calibri" w:eastAsia="Calibri" w:hAnsi="Calibri"/>
            <w:color w:val="0000ff"/>
            <w:u w:val="single"/>
            <w:rtl w:val="0"/>
          </w:rPr>
          <w:t xml:space="preserve">http://udltheorypractice.cast.org/home?4</w:t>
        </w:r>
      </w:hyperlink>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begin"/>
        <w:instrText xml:space="preserve"> HYPERLINK "http://udltheorypractice.cast.org/home?4" </w:instrText>
        <w:fldChar w:fldCharType="separate"/>
      </w: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rPr>
      </w:pPr>
      <w:r w:rsidDel="00000000" w:rsidR="00000000" w:rsidRPr="00000000">
        <w:rPr>
          <w:rFonts w:ascii="Calibri" w:cs="Calibri" w:eastAsia="Calibri" w:hAnsi="Calibri"/>
        </w:rPr>
        <w:drawing>
          <wp:inline distB="0" distT="0" distL="0" distR="0">
            <wp:extent cx="3602355" cy="3075017"/>
            <wp:effectExtent b="0" l="0" r="0" t="0"/>
            <wp:docPr id="3"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602355" cy="3075017"/>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fldChar w:fldCharType="end"/>
      </w:r>
      <w:r w:rsidDel="00000000" w:rsidR="00000000" w:rsidRPr="00000000">
        <w:fldChar w:fldCharType="begin"/>
        <w:instrText xml:space="preserve"> HYPERLINK "http://udltheorypractice.cast.org/home?4" </w:instrText>
        <w:fldChar w:fldCharType="separate"/>
      </w:r>
      <w:r w:rsidDel="00000000" w:rsidR="00000000" w:rsidRPr="00000000">
        <w:rPr>
          <w:sz w:val="28"/>
          <w:szCs w:val="28"/>
        </w:rPr>
        <w:drawing>
          <wp:inline distB="0" distT="0" distL="114300" distR="114300">
            <wp:extent cx="8229601" cy="6359013"/>
            <wp:effectExtent b="0" l="0" r="0" t="0"/>
            <wp:docPr id="1"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rot="5400000">
                      <a:off x="0" y="0"/>
                      <a:ext cx="8229601" cy="6359013"/>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rPr>
          <w:sz w:val="28"/>
          <w:szCs w:val="28"/>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jc w:val="center"/>
        <w:rPr>
          <w:b w:val="1"/>
          <w:sz w:val="32"/>
          <w:szCs w:val="32"/>
        </w:rPr>
      </w:pPr>
      <w:r w:rsidDel="00000000" w:rsidR="00000000" w:rsidRPr="00000000">
        <w:fldChar w:fldCharType="end"/>
      </w:r>
      <w:r w:rsidDel="00000000" w:rsidR="00000000" w:rsidRPr="00000000">
        <w:rPr>
          <w:b w:val="1"/>
          <w:sz w:val="32"/>
          <w:szCs w:val="32"/>
          <w:rtl w:val="0"/>
        </w:rPr>
        <w:t xml:space="preserve">Science Appendix C: Gifted and Talented</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The NJDOE defines gifted and talented as:</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i w:val="1"/>
          <w:rtl w:val="0"/>
        </w:rPr>
        <w:t xml:space="preserve">Those students who possess or demonstrate high levels of ability, in one or more content areas, when compared to their chronological peers in the local district and who require modification of their educational program if they are to achieve in accordance with their capabilities.”</w:t>
      </w:r>
      <w:r w:rsidDel="00000000" w:rsidR="00000000" w:rsidRPr="00000000">
        <w:rPr>
          <w:rFonts w:ascii="Calibri" w:cs="Calibri" w:eastAsia="Calibri" w:hAnsi="Calibri"/>
          <w:i w:val="1"/>
          <w:vertAlign w:val="superscript"/>
        </w:rPr>
        <w:footnoteReference w:customMarkFollows="0" w:id="1"/>
      </w: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All schools are required to provide GT students with opportunities to develop themselves fully.  While this requirement is met programmatically through, for example, pull-out enrichment, GT-for-all classes, and Honors, AP, and independent study classes, it is important that teachers of all grades and subjects differentiate their instruction for GT students.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i w:val="1"/>
        </w:rPr>
      </w:pPr>
      <w:r w:rsidDel="00000000" w:rsidR="00000000" w:rsidRPr="00000000">
        <w:rPr>
          <w:rFonts w:ascii="Calibri" w:cs="Calibri" w:eastAsia="Calibri" w:hAnsi="Calibri"/>
          <w:b w:val="1"/>
          <w:i w:val="1"/>
          <w:rtl w:val="0"/>
        </w:rPr>
        <w:t xml:space="preserve">Teaching Gifted Learners</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bl>
      <w:tblPr>
        <w:tblStyle w:val="Table4"/>
        <w:tblW w:w="885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6948"/>
        <w:tblGridChange w:id="0">
          <w:tblGrid>
            <w:gridCol w:w="1908"/>
            <w:gridCol w:w="6948"/>
          </w:tblGrid>
        </w:tblGridChange>
      </w:tblGrid>
      <w:tr>
        <w:trPr>
          <w:cantSplit w:val="0"/>
          <w:tblHeader w:val="0"/>
        </w:trPr>
        <w:tc>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Consider curriculum condensing—how can you streamline the curriculum to make time for students to explore advanced or self-directed topics? </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Choose learning experiences organized by key concepts and principles of a discipline</w:t>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Topics that let students grapple with meaningful, real-world problems and pose plausible solutions</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Classrooms that provide both structure and choice</w:t>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Curriculum should not be limited to standard curriculum.</w:t>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w:t>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May need a more rapid instructional pace or a pace that allows for deeper understanding and knowing</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Skill application at a higher degree of difficulty.  Consider how multi media and technology may play a role.  Expectations should include deeper thinking, greater leaps of insight, and comfort with probability and ambiguity in proposing solutions.  </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work to support students taking responsible risks with challenging material.  Students should be supported as they move through productive failure at challenging material.  Many GT students are averse to failure and will only challenge themselves to the point where they know they can succeed.  Teachers should push students out of their comfort zones and help them cope with failure and see the benefits of using it as a learning experience.  </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Instruction should not be teacher-centered or be based primarily on teacher transfer of fact-based knowledge to students.</w:t>
            </w:r>
          </w:p>
        </w:tc>
      </w:tr>
      <w:tr>
        <w:trPr>
          <w:cantSplit w:val="0"/>
          <w:tblHeader w:val="0"/>
        </w:trPr>
        <w:tc>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Teachers should encourage gifted students to consider how they can best show mastery of concepts.  Students should be involved in creating assessment rubrics and judging their work against high standards that they co-create.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combine structure with choice and allow for multiple means of demonstration of mastery.  Students should be free to determine the best ways that their mastery can be demonstrated, with teacher consultation.  </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Assessments should not be limited to typical, traditional, paper-based assessments. </w:t>
            </w:r>
          </w:p>
        </w:tc>
      </w:tr>
    </w:tbl>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Adapted from Tomlinson, C. A., “What it Means to Teach Gifted Learners Well”.  Available: </w:t>
      </w:r>
      <w:hyperlink r:id="rId17">
        <w:r w:rsidDel="00000000" w:rsidR="00000000" w:rsidRPr="00000000">
          <w:rPr>
            <w:rFonts w:ascii="Calibri" w:cs="Calibri" w:eastAsia="Calibri" w:hAnsi="Calibri"/>
            <w:i w:val="1"/>
            <w:color w:val="0000ff"/>
            <w:sz w:val="18"/>
            <w:szCs w:val="18"/>
            <w:u w:val="single"/>
            <w:rtl w:val="0"/>
          </w:rPr>
          <w:t xml:space="preserve">http://www.nagc.org/resources-publications/gifted-education-practices/what-it-means-teach-gifted-learners-well</w:t>
        </w:r>
      </w:hyperlink>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"http://www.nagc.org/resources-publications/gifted-education-practices/what-it-means-teach-gifted-learners-well" </w:instrText>
        <w:fldChar w:fldCharType="separate"/>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u w:val="single"/>
        </w:rPr>
      </w:pPr>
      <w:r w:rsidDel="00000000" w:rsidR="00000000" w:rsidRPr="00000000">
        <w:fldChar w:fldCharType="end"/>
      </w:r>
      <w:r w:rsidDel="00000000" w:rsidR="00000000" w:rsidRPr="00000000">
        <w:rPr>
          <w:rFonts w:ascii="Calibri" w:cs="Calibri" w:eastAsia="Calibri" w:hAnsi="Calibri"/>
          <w:b w:val="1"/>
          <w:u w:val="single"/>
          <w:rtl w:val="0"/>
        </w:rPr>
        <w:t xml:space="preserve">GT Resources</w:t>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National Society for Gifted and Talented: </w:t>
      </w:r>
      <w:hyperlink r:id="rId18">
        <w:r w:rsidDel="00000000" w:rsidR="00000000" w:rsidRPr="00000000">
          <w:rPr>
            <w:rFonts w:ascii="Calibri" w:cs="Calibri" w:eastAsia="Calibri" w:hAnsi="Calibri"/>
            <w:color w:val="0000ff"/>
            <w:u w:val="single"/>
            <w:rtl w:val="0"/>
          </w:rPr>
          <w:t xml:space="preserve">http://www.nsgt.org/</w:t>
        </w:r>
      </w:hyperlink>
      <w:r w:rsidDel="00000000" w:rsidR="00000000" w:rsidRPr="00000000">
        <w:fldChar w:fldCharType="begin"/>
        <w:instrText xml:space="preserve"> HYPERLINK "http://www.nsgt.org/" </w:instrText>
        <w:fldChar w:fldCharType="separate"/>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National Association for Gifted Children: </w:t>
      </w:r>
      <w:hyperlink r:id="rId19">
        <w:r w:rsidDel="00000000" w:rsidR="00000000" w:rsidRPr="00000000">
          <w:rPr>
            <w:rFonts w:ascii="Calibri" w:cs="Calibri" w:eastAsia="Calibri" w:hAnsi="Calibri"/>
            <w:color w:val="0000ff"/>
            <w:u w:val="single"/>
            <w:rtl w:val="0"/>
          </w:rPr>
          <w:t xml:space="preserve">https://www.nagc.org/</w:t>
        </w:r>
      </w:hyperlink>
      <w:r w:rsidDel="00000000" w:rsidR="00000000" w:rsidRPr="00000000">
        <w:fldChar w:fldCharType="begin"/>
        <w:instrText xml:space="preserve"> HYPERLINK "https://www.nagc.org/" </w:instrText>
        <w:fldChar w:fldCharType="separate"/>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New Jersey Association for Gifted Children: </w:t>
      </w:r>
      <w:hyperlink r:id="rId20">
        <w:r w:rsidDel="00000000" w:rsidR="00000000" w:rsidRPr="00000000">
          <w:rPr>
            <w:rFonts w:ascii="Calibri" w:cs="Calibri" w:eastAsia="Calibri" w:hAnsi="Calibri"/>
            <w:color w:val="0000ff"/>
            <w:u w:val="single"/>
            <w:rtl w:val="0"/>
          </w:rPr>
          <w:t xml:space="preserve">http://www.njagc.org/</w:t>
        </w:r>
      </w:hyperlink>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8">
      <w:pPr>
        <w:pStyle w:val="Heading3"/>
        <w:keepNext w:val="0"/>
        <w:keepLines w:val="0"/>
        <w:pageBreakBefore w:val="0"/>
        <w:pBdr>
          <w:top w:color="auto" w:space="0" w:sz="0" w:val="none"/>
          <w:left w:color="auto" w:space="0" w:sz="0" w:val="none"/>
          <w:bottom w:color="auto" w:space="0" w:sz="0" w:val="none"/>
          <w:right w:color="auto" w:space="0" w:sz="0" w:val="none"/>
          <w:between w:color="auto" w:space="0" w:sz="0" w:val="none"/>
        </w:pBdr>
        <w:shd w:fill="f5f7f8" w:val="clear"/>
        <w:spacing w:after="140" w:before="0" w:lineRule="auto"/>
        <w:rPr/>
      </w:pPr>
      <w:bookmarkStart w:colFirst="0" w:colLast="0" w:name="_cksyqwdywyz0" w:id="1"/>
      <w:bookmarkEnd w:id="1"/>
      <w:r w:rsidDel="00000000" w:rsidR="00000000" w:rsidRPr="00000000">
        <w:fldChar w:fldCharType="end"/>
      </w:r>
      <w:r w:rsidDel="00000000" w:rsidR="00000000" w:rsidRPr="00000000">
        <w:rPr>
          <w:rtl w:val="0"/>
        </w:rPr>
        <w:t xml:space="preserve">Additional Specific Info for GT Students in the Science Context</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DA">
      <w:pPr>
        <w:pageBreakBefore w:val="0"/>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For GT students in science it is important to provide as many opportunities as possible for self-directed work that supports a student’s natural interests.  Students may benefit from working on application of science into real-world contexts, particularly with cross-curricular transfer into math, engineering, art, music, and other disciplines that incorporate principles of science.   </w:t>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C">
      <w:pPr>
        <w:pageBreakBefore w:val="0"/>
        <w:rPr>
          <w:b w:val="1"/>
          <w:sz w:val="32"/>
          <w:szCs w:val="32"/>
        </w:rPr>
      </w:pPr>
      <w:hyperlink r:id="rId21">
        <w:r w:rsidDel="00000000" w:rsidR="00000000" w:rsidRPr="00000000">
          <w:rPr>
            <w:rFonts w:ascii="Calibri" w:cs="Calibri" w:eastAsia="Calibri" w:hAnsi="Calibri"/>
            <w:color w:val="1155cc"/>
            <w:u w:val="single"/>
            <w:rtl w:val="0"/>
          </w:rPr>
          <w:t xml:space="preserve">The Davidson Gifted Database: Science </w:t>
        </w:r>
      </w:hyperlink>
      <w:r w:rsidDel="00000000" w:rsidR="00000000" w:rsidRPr="00000000">
        <w:rPr>
          <w:rFonts w:ascii="Calibri" w:cs="Calibri" w:eastAsia="Calibri" w:hAnsi="Calibri"/>
          <w:rtl w:val="0"/>
        </w:rPr>
        <w:t xml:space="preserve"> provides many links to lessons, projects, assessments, and materials for GT students in science-- there are also plenty of materials for parents and families of GT students in order to better develop supportive parent partnerships for GT students.  Various online and distance learning opportunities are also catalogued; be sure to collaborate with building administration as you look to pursue opportunities outside the school for your GT students.</w:t>
      </w:r>
      <w:r w:rsidDel="00000000" w:rsidR="00000000" w:rsidRPr="00000000">
        <w:fldChar w:fldCharType="begin"/>
        <w:instrText xml:space="preserve"> HYPERLINK "http://www.njagc.org/" </w:instrText>
        <w:fldChar w:fldCharType="separate"/>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fldChar w:fldCharType="end"/>
      </w:r>
      <w:r w:rsidDel="00000000" w:rsidR="00000000" w:rsidRPr="00000000">
        <w:fldChar w:fldCharType="begin"/>
        <w:instrText xml:space="preserve"> HYPERLINK "http://www.njagc.org/" </w:instrText>
        <w:fldChar w:fldCharType="separate"/>
      </w:r>
      <w:r w:rsidDel="00000000" w:rsidR="00000000" w:rsidRPr="00000000">
        <w:rPr>
          <w:rtl w:val="0"/>
        </w:rPr>
      </w:r>
      <w:r w:rsidDel="00000000" w:rsidR="00000000" w:rsidRPr="00000000">
        <w:fldChar w:fldCharType="end"/>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 w:name="Time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Style w:val="FootnoteReference"/>
          <w:vertAlign w:val="superscript"/>
        </w:rPr>
        <w:footnoteRef/>
      </w:r>
      <w:r w:rsidDel="00000000" w:rsidR="00000000" w:rsidRPr="00000000">
        <w:rPr>
          <w:rFonts w:ascii="Cambria" w:cs="Cambria" w:eastAsia="Cambria" w:hAnsi="Cambria"/>
          <w:b w:val="0"/>
          <w:sz w:val="24"/>
          <w:szCs w:val="24"/>
          <w:rtl w:val="0"/>
        </w:rPr>
        <w:t xml:space="preserve"> </w:t>
      </w:r>
      <w:r w:rsidDel="00000000" w:rsidR="00000000" w:rsidRPr="00000000">
        <w:rPr>
          <w:rFonts w:ascii="Cambria" w:cs="Cambria" w:eastAsia="Cambria" w:hAnsi="Cambria"/>
          <w:b w:val="0"/>
          <w:sz w:val="20"/>
          <w:szCs w:val="20"/>
          <w:rtl w:val="0"/>
        </w:rPr>
        <w:t xml:space="preserve">Adapted from National Center for Learning Disabilities, (2005) </w:t>
      </w:r>
      <w:hyperlink r:id="rId1">
        <w:r w:rsidDel="00000000" w:rsidR="00000000" w:rsidRPr="00000000">
          <w:rPr>
            <w:rFonts w:ascii="Cambria" w:cs="Cambria" w:eastAsia="Cambria" w:hAnsi="Cambria"/>
            <w:b w:val="0"/>
            <w:color w:val="0000ff"/>
            <w:sz w:val="20"/>
            <w:szCs w:val="20"/>
            <w:u w:val="single"/>
            <w:rtl w:val="0"/>
          </w:rPr>
          <w:t xml:space="preserve">http://www.cehd.umn.edu/nceo/onlinepubs/NCLD/Accommodations.pdf</w:t>
        </w:r>
      </w:hyperlink>
      <w:r w:rsidDel="00000000" w:rsidR="00000000" w:rsidRPr="00000000">
        <w:fldChar w:fldCharType="begin"/>
        <w:instrText xml:space="preserve"> HYPERLINK "http://www.cehd.umn.edu/nceo/onlinepubs/NCLD/Accommodations.pdf" </w:instrText>
        <w:fldChar w:fldCharType="separate"/>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footnote>
  <w:footnote w:id="1">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mbria" w:cs="Cambria" w:eastAsia="Cambria" w:hAnsi="Cambria"/>
          <w:b w:val="0"/>
          <w:sz w:val="20"/>
          <w:szCs w:val="20"/>
        </w:rPr>
      </w:pPr>
      <w:r w:rsidDel="00000000" w:rsidR="00000000" w:rsidRPr="00000000">
        <w:fldChar w:fldCharType="end"/>
      </w:r>
      <w:r w:rsidDel="00000000" w:rsidR="00000000" w:rsidRPr="00000000">
        <w:rPr>
          <w:rFonts w:ascii="Cambria" w:cs="Cambria" w:eastAsia="Cambria" w:hAnsi="Cambria"/>
          <w:b w:val="0"/>
          <w:sz w:val="20"/>
          <w:szCs w:val="20"/>
          <w:rtl w:val="0"/>
        </w:rPr>
        <w:t xml:space="preserve"> http://www.state.nj.us/education/genfo/faq/faq_gandt.htm</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62626"/>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262626"/>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262626"/>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080" w:hanging="360"/>
      </w:pPr>
      <w:rPr>
        <w:rFonts w:ascii="Arial" w:cs="Arial" w:eastAsia="Arial" w:hAnsi="Arial"/>
      </w:rPr>
    </w:lvl>
    <w:lvl w:ilvl="1">
      <w:start w:val="1"/>
      <w:numFmt w:val="bullet"/>
      <w:lvlText w:val="o"/>
      <w:lvlJc w:val="left"/>
      <w:pPr>
        <w:ind w:left="1800" w:hanging="360"/>
      </w:pPr>
      <w:rPr>
        <w:rFonts w:ascii="Arial" w:cs="Arial" w:eastAsia="Arial" w:hAnsi="Arial"/>
      </w:rPr>
    </w:lvl>
    <w:lvl w:ilvl="2">
      <w:start w:val="1"/>
      <w:numFmt w:val="bullet"/>
      <w:lvlText w:val="▪"/>
      <w:lvlJc w:val="left"/>
      <w:pPr>
        <w:ind w:left="2520" w:hanging="360"/>
      </w:pPr>
      <w:rPr>
        <w:rFonts w:ascii="Arial" w:cs="Arial" w:eastAsia="Arial" w:hAnsi="Arial"/>
      </w:rPr>
    </w:lvl>
    <w:lvl w:ilvl="3">
      <w:start w:val="1"/>
      <w:numFmt w:val="bullet"/>
      <w:lvlText w:val="●"/>
      <w:lvlJc w:val="left"/>
      <w:pPr>
        <w:ind w:left="3240" w:hanging="360"/>
      </w:pPr>
      <w:rPr>
        <w:rFonts w:ascii="Arial" w:cs="Arial" w:eastAsia="Arial" w:hAnsi="Arial"/>
      </w:rPr>
    </w:lvl>
    <w:lvl w:ilvl="4">
      <w:start w:val="1"/>
      <w:numFmt w:val="bullet"/>
      <w:lvlText w:val="o"/>
      <w:lvlJc w:val="left"/>
      <w:pPr>
        <w:ind w:left="3960" w:hanging="360"/>
      </w:pPr>
      <w:rPr>
        <w:rFonts w:ascii="Arial" w:cs="Arial" w:eastAsia="Arial" w:hAnsi="Arial"/>
      </w:rPr>
    </w:lvl>
    <w:lvl w:ilvl="5">
      <w:start w:val="1"/>
      <w:numFmt w:val="bullet"/>
      <w:lvlText w:val="▪"/>
      <w:lvlJc w:val="left"/>
      <w:pPr>
        <w:ind w:left="4680" w:hanging="360"/>
      </w:pPr>
      <w:rPr>
        <w:rFonts w:ascii="Arial" w:cs="Arial" w:eastAsia="Arial" w:hAnsi="Arial"/>
      </w:rPr>
    </w:lvl>
    <w:lvl w:ilvl="6">
      <w:start w:val="1"/>
      <w:numFmt w:val="bullet"/>
      <w:lvlText w:val="●"/>
      <w:lvlJc w:val="left"/>
      <w:pPr>
        <w:ind w:left="5400" w:hanging="360"/>
      </w:pPr>
      <w:rPr>
        <w:rFonts w:ascii="Arial" w:cs="Arial" w:eastAsia="Arial" w:hAnsi="Arial"/>
      </w:rPr>
    </w:lvl>
    <w:lvl w:ilvl="7">
      <w:start w:val="1"/>
      <w:numFmt w:val="bullet"/>
      <w:lvlText w:val="o"/>
      <w:lvlJc w:val="left"/>
      <w:pPr>
        <w:ind w:left="6120" w:hanging="360"/>
      </w:pPr>
      <w:rPr>
        <w:rFonts w:ascii="Arial" w:cs="Arial" w:eastAsia="Arial" w:hAnsi="Arial"/>
      </w:rPr>
    </w:lvl>
    <w:lvl w:ilvl="8">
      <w:start w:val="1"/>
      <w:numFmt w:val="bullet"/>
      <w:lvlText w:val="▪"/>
      <w:lvlJc w:val="left"/>
      <w:pPr>
        <w:ind w:left="6840" w:hanging="360"/>
      </w:pPr>
      <w:rPr>
        <w:rFonts w:ascii="Arial" w:cs="Arial" w:eastAsia="Arial" w:hAnsi="Arial"/>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6">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7">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100" w:before="100" w:line="240" w:lineRule="auto"/>
    </w:pPr>
    <w:rPr>
      <w:rFonts w:ascii="Times" w:cs="Times" w:eastAsia="Times" w:hAnsi="Times"/>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njagc.org/" TargetMode="External"/><Relationship Id="rId11" Type="http://schemas.openxmlformats.org/officeDocument/2006/relationships/hyperlink" Target="https://aae.boisestate.edu/know-your-learning-style/" TargetMode="External"/><Relationship Id="rId10" Type="http://schemas.openxmlformats.org/officeDocument/2006/relationships/image" Target="media/image1.png"/><Relationship Id="rId21" Type="http://schemas.openxmlformats.org/officeDocument/2006/relationships/hyperlink" Target="http://www.davidsongifted.org/Search-Database/topic/105142/entryType/1" TargetMode="External"/><Relationship Id="rId13" Type="http://schemas.openxmlformats.org/officeDocument/2006/relationships/hyperlink" Target="http://www.udlcenter.org/" TargetMode="External"/><Relationship Id="rId12" Type="http://schemas.openxmlformats.org/officeDocument/2006/relationships/hyperlink" Target="http://www.cast.org/our-work/about-udl.html#.VrJILjYrLz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tecweb.org/styles/gardner.html" TargetMode="External"/><Relationship Id="rId15" Type="http://schemas.openxmlformats.org/officeDocument/2006/relationships/image" Target="media/image2.png"/><Relationship Id="rId14" Type="http://schemas.openxmlformats.org/officeDocument/2006/relationships/hyperlink" Target="http://udltheorypractice.cast.org/home?4" TargetMode="External"/><Relationship Id="rId17" Type="http://schemas.openxmlformats.org/officeDocument/2006/relationships/hyperlink" Target="http://www.nagc.org/resources-publications/gifted-education-practices/what-it-means-teach-gifted-learners-well" TargetMode="External"/><Relationship Id="rId16" Type="http://schemas.openxmlformats.org/officeDocument/2006/relationships/image" Target="media/image3.png"/><Relationship Id="rId5" Type="http://schemas.openxmlformats.org/officeDocument/2006/relationships/numbering" Target="numbering.xml"/><Relationship Id="rId19" Type="http://schemas.openxmlformats.org/officeDocument/2006/relationships/hyperlink" Target="https://www.nagc.org/" TargetMode="External"/><Relationship Id="rId6" Type="http://schemas.openxmlformats.org/officeDocument/2006/relationships/styles" Target="styles.xml"/><Relationship Id="rId18" Type="http://schemas.openxmlformats.org/officeDocument/2006/relationships/hyperlink" Target="http://www.nsgt.org/" TargetMode="External"/><Relationship Id="rId7" Type="http://schemas.openxmlformats.org/officeDocument/2006/relationships/hyperlink" Target="http://www.umassd.edu/dss/resources/facultystaff/howtoteachandaccommodate/howtoaccommodatedifferentlearningstyles/" TargetMode="External"/><Relationship Id="rId8" Type="http://schemas.openxmlformats.org/officeDocument/2006/relationships/hyperlink" Target="http://www.tecweb.org/styles/gardner.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ehd.umn.edu/nceo/onlinepubs/NCLD/Accommod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