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gjdgxs" w:id="0"/>
      <w:bookmarkEnd w:id="0"/>
      <w:r w:rsidDel="00000000" w:rsidR="00000000" w:rsidRPr="00000000">
        <w:rPr>
          <w:b w:val="1"/>
          <w:sz w:val="32"/>
          <w:szCs w:val="32"/>
          <w:rtl w:val="0"/>
        </w:rPr>
        <w:t xml:space="preserve">Physical Education </w:t>
      </w:r>
      <w:r w:rsidDel="00000000" w:rsidR="00000000" w:rsidRPr="00000000">
        <w:rPr>
          <w:b w:val="1"/>
          <w:sz w:val="32"/>
          <w:szCs w:val="32"/>
          <w:rtl w:val="0"/>
        </w:rPr>
        <w:t xml:space="preserve">Appendix A: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x8ng2yuj01a0" w:id="1"/>
      <w:bookmarkEnd w:id="1"/>
      <w:r w:rsidDel="00000000" w:rsidR="00000000" w:rsidRPr="00000000">
        <w:rPr>
          <w:b w:val="1"/>
          <w:sz w:val="32"/>
          <w:szCs w:val="32"/>
          <w:rtl w:val="0"/>
        </w:rPr>
        <w:t xml:space="preserve">Accommodations and Modifications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for Special Education Students</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general, special education students are expected to perform to the same standards as general education students.  They are typically subject to the same state accountability measures, testing requirements, curricular expectations, and graduation requirements as their general education counterparts.  Given this, special education students should be taught the standard written curriculum as much as possible, with consideration to accommodations and modification written in the student’s Individualized Educational Plan (IEP).</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Some exceptions apply, however.  Some students with significant disabilities are exempted from testing and accountability requirements.  Others must be provided with modified and/or accommodated materials, tests, or instructional practices.  These modifications and accommodations are typically outlined in the student’s IEP.  However, teachers of special education students are encouraged and expected to use any instructional practice that will help a student master material.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Key Definitions</w:t>
      </w:r>
      <w:r w:rsidDel="00000000" w:rsidR="00000000" w:rsidRPr="00000000">
        <w:rPr>
          <w:b w:val="1"/>
          <w:sz w:val="28"/>
          <w:szCs w:val="28"/>
          <w:u w:val="single"/>
          <w:vertAlign w:val="superscript"/>
        </w:rPr>
        <w:footnoteReference w:customMarkFollows="0" w:id="0"/>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Accommodations</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Accommodations are “intended to lessen the effects of a student’s disability,” and provide </w:t>
      </w:r>
      <w:r w:rsidDel="00000000" w:rsidR="00000000" w:rsidRPr="00000000">
        <w:rPr>
          <w:rFonts w:ascii="Cambria" w:cs="Cambria" w:eastAsia="Cambria" w:hAnsi="Cambria"/>
          <w:b w:val="0"/>
          <w:i w:val="1"/>
          <w:sz w:val="24"/>
          <w:szCs w:val="24"/>
          <w:rtl w:val="0"/>
        </w:rPr>
        <w:t xml:space="preserve">access</w:t>
      </w:r>
      <w:r w:rsidDel="00000000" w:rsidR="00000000" w:rsidRPr="00000000">
        <w:rPr>
          <w:rFonts w:ascii="Cambria" w:cs="Cambria" w:eastAsia="Cambria" w:hAnsi="Cambria"/>
          <w:b w:val="0"/>
          <w:sz w:val="24"/>
          <w:szCs w:val="24"/>
          <w:rtl w:val="0"/>
        </w:rPr>
        <w:t xml:space="preserve"> to the general education curriculum. They do not result in changed expectations for the child, and do not significantly change or reduce curricular or assessment expectations, although the </w:t>
      </w:r>
      <w:r w:rsidDel="00000000" w:rsidR="00000000" w:rsidRPr="00000000">
        <w:rPr>
          <w:rFonts w:ascii="Cambria" w:cs="Cambria" w:eastAsia="Cambria" w:hAnsi="Cambria"/>
          <w:b w:val="0"/>
          <w:i w:val="1"/>
          <w:sz w:val="24"/>
          <w:szCs w:val="24"/>
          <w:rtl w:val="0"/>
        </w:rPr>
        <w:t xml:space="preserve">environment</w:t>
      </w:r>
      <w:r w:rsidDel="00000000" w:rsidR="00000000" w:rsidRPr="00000000">
        <w:rPr>
          <w:rFonts w:ascii="Cambria" w:cs="Cambria" w:eastAsia="Cambria" w:hAnsi="Cambria"/>
          <w:b w:val="0"/>
          <w:sz w:val="24"/>
          <w:szCs w:val="24"/>
          <w:rtl w:val="0"/>
        </w:rPr>
        <w:t xml:space="preserve"> may be changed in these areas.</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include, </w:t>
      </w:r>
      <w:r w:rsidDel="00000000" w:rsidR="00000000" w:rsidRPr="00000000">
        <w:rPr>
          <w:rFonts w:ascii="Cambria" w:cs="Cambria" w:eastAsia="Cambria" w:hAnsi="Cambria"/>
          <w:b w:val="0"/>
          <w:i w:val="1"/>
          <w:sz w:val="24"/>
          <w:szCs w:val="24"/>
          <w:rtl w:val="0"/>
        </w:rPr>
        <w:t xml:space="preserve">but are not limited to</w:t>
      </w:r>
      <w:r w:rsidDel="00000000" w:rsidR="00000000" w:rsidRPr="00000000">
        <w:rPr>
          <w:rFonts w:ascii="Cambria" w:cs="Cambria" w:eastAsia="Cambria" w:hAnsi="Cambria"/>
          <w:b w:val="0"/>
          <w:sz w:val="24"/>
          <w:szCs w:val="24"/>
          <w:rtl w:val="0"/>
        </w:rPr>
        <w:t xml:space="preserve">, extra time, graphic organizers, extended time, scribes, etc.</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be written into an IEP, but teachers are free to use accommodations to help students succeed as needed.  </w:t>
      </w:r>
      <w:r w:rsidDel="00000000" w:rsidR="00000000" w:rsidRPr="00000000">
        <w:rPr>
          <w:rFonts w:ascii="Cambria" w:cs="Cambria" w:eastAsia="Cambria" w:hAnsi="Cambria"/>
          <w:b w:val="0"/>
          <w:sz w:val="24"/>
          <w:szCs w:val="24"/>
          <w:u w:val="single"/>
          <w:rtl w:val="0"/>
        </w:rPr>
        <w:t xml:space="preserve">Teachers should use resources such as supervisors and/or LDTCs in this work.</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Modification</w:t>
      </w:r>
    </w:p>
    <w:p w:rsidR="00000000" w:rsidDel="00000000" w:rsidP="00000000" w:rsidRDefault="00000000" w:rsidRPr="00000000" w14:paraId="0000001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Modifications change what is expected of a student and should occur only when written into an IEP.  They are </w:t>
      </w:r>
      <w:r w:rsidDel="00000000" w:rsidR="00000000" w:rsidRPr="00000000">
        <w:rPr>
          <w:rFonts w:ascii="Cambria" w:cs="Cambria" w:eastAsia="Cambria" w:hAnsi="Cambria"/>
          <w:b w:val="0"/>
          <w:i w:val="1"/>
          <w:sz w:val="24"/>
          <w:szCs w:val="24"/>
          <w:rtl w:val="0"/>
        </w:rPr>
        <w:t xml:space="preserve">not</w:t>
      </w:r>
      <w:r w:rsidDel="00000000" w:rsidR="00000000" w:rsidRPr="00000000">
        <w:rPr>
          <w:rFonts w:ascii="Cambria" w:cs="Cambria" w:eastAsia="Cambria" w:hAnsi="Cambria"/>
          <w:b w:val="0"/>
          <w:sz w:val="24"/>
          <w:szCs w:val="24"/>
          <w:rtl w:val="0"/>
        </w:rPr>
        <w:t xml:space="preserve"> used at the teacher’s discretion.</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Teaching Students with Special Needs: Resources on Adaptive PE</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jc w:val="center"/>
        <w:rPr>
          <w:i w:val="1"/>
          <w:sz w:val="28"/>
          <w:szCs w:val="28"/>
        </w:rPr>
      </w:pPr>
      <w:hyperlink r:id="rId7">
        <w:r w:rsidDel="00000000" w:rsidR="00000000" w:rsidRPr="00000000">
          <w:rPr>
            <w:i w:val="1"/>
            <w:color w:val="1155cc"/>
            <w:sz w:val="28"/>
            <w:szCs w:val="28"/>
            <w:rtl w:val="0"/>
          </w:rPr>
          <w:t xml:space="preserve">“Creating Equal Opportunities for Children and Youth with Disabilities to Participate in Physical Education and Extracurricular Activities”</w:t>
        </w:r>
      </w:hyperlink>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sz w:val="28"/>
          <w:szCs w:val="28"/>
        </w:rPr>
        <w:drawing>
          <wp:inline distB="114300" distT="114300" distL="114300" distR="114300">
            <wp:extent cx="2371725" cy="2390775"/>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371725" cy="2390775"/>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Also see </w:t>
      </w:r>
      <w:hyperlink r:id="rId9">
        <w:r w:rsidDel="00000000" w:rsidR="00000000" w:rsidRPr="00000000">
          <w:rPr>
            <w:color w:val="1155cc"/>
            <w:sz w:val="28"/>
            <w:szCs w:val="28"/>
            <w:u w:val="single"/>
            <w:rtl w:val="0"/>
          </w:rPr>
          <w:t xml:space="preserve">“Adapted Physical Education Activities”</w:t>
        </w:r>
      </w:hyperlink>
      <w:r w:rsidDel="00000000" w:rsidR="00000000" w:rsidRPr="00000000">
        <w:rPr>
          <w:sz w:val="28"/>
          <w:szCs w:val="28"/>
          <w:rtl w:val="0"/>
        </w:rPr>
        <w:t xml:space="preserve"> for more specific ideas</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sz w:val="28"/>
          <w:szCs w:val="28"/>
        </w:rPr>
      </w:pPr>
      <w:r w:rsidDel="00000000" w:rsidR="00000000" w:rsidRPr="00000000">
        <w:rPr>
          <w:rFonts w:ascii="Calibri" w:cs="Calibri" w:eastAsia="Calibri" w:hAnsi="Calibri"/>
          <w:b w:val="1"/>
          <w:i w:val="1"/>
          <w:sz w:val="28"/>
          <w:szCs w:val="28"/>
          <w:rtl w:val="0"/>
        </w:rPr>
        <w:t xml:space="preserve">                           Learning Styles</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1"/>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6795"/>
        <w:tblGridChange w:id="0">
          <w:tblGrid>
            <w:gridCol w:w="2070"/>
            <w:gridCol w:w="6795"/>
          </w:tblGrid>
        </w:tblGridChange>
      </w:tblGrid>
      <w:tr>
        <w:trPr>
          <w:cantSplit w:val="0"/>
          <w:tblHeader w:val="0"/>
        </w:trPr>
        <w:tc>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Visual</w:t>
            </w:r>
          </w:p>
        </w:tc>
      </w:tr>
      <w:tr>
        <w:trPr>
          <w:cantSplit w:val="0"/>
          <w:tblHeader w:val="0"/>
        </w:trPr>
        <w:tc>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Preference for seen or observed things, including pictures, diagrams, demonstrations, displays, handouts, films, flip-charts, etc.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Thinks in terms of “show me,” and “let’s have a look at that” and will be best able to perform a new task after reading the instructions or watching someone else do it first.</w:t>
            </w:r>
          </w:p>
        </w:tc>
      </w:tr>
      <w:tr>
        <w:trPr>
          <w:cantSplit w:val="0"/>
          <w:tblHeader w:val="0"/>
        </w:trPr>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28">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Use maps, flow charts, or webs to organize materials</w:t>
            </w:r>
          </w:p>
          <w:p w:rsidR="00000000" w:rsidDel="00000000" w:rsidP="00000000" w:rsidRDefault="00000000" w:rsidRPr="00000000" w14:paraId="00000029">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Highlight and color code books/notes to organize and relate material</w:t>
            </w:r>
          </w:p>
          <w:p w:rsidR="00000000" w:rsidDel="00000000" w:rsidP="00000000" w:rsidRDefault="00000000" w:rsidRPr="00000000" w14:paraId="0000002A">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Have students pick out key words and ideas in their own writing and highlight them in different colors to reveal organization</w:t>
            </w:r>
          </w:p>
          <w:p w:rsidR="00000000" w:rsidDel="00000000" w:rsidP="00000000" w:rsidRDefault="00000000" w:rsidRPr="00000000" w14:paraId="0000002B">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checklists of needed formulas, commonly misspelled words, etc.</w:t>
            </w:r>
          </w:p>
          <w:p w:rsidR="00000000" w:rsidDel="00000000" w:rsidP="00000000" w:rsidRDefault="00000000" w:rsidRPr="00000000" w14:paraId="0000002C">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and use flash cards for review of material</w:t>
            </w:r>
          </w:p>
          <w:p w:rsidR="00000000" w:rsidDel="00000000" w:rsidP="00000000" w:rsidRDefault="00000000" w:rsidRPr="00000000" w14:paraId="0000002D">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Draw pictures or cartoons of concepts</w:t>
            </w:r>
          </w:p>
          <w:p w:rsidR="00000000" w:rsidDel="00000000" w:rsidP="00000000" w:rsidRDefault="00000000" w:rsidRPr="00000000" w14:paraId="0000002E">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down material on slips of paper and move them around into proper sequence. (Can be done on PC too)</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2"/>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6750"/>
        <w:tblGridChange w:id="0">
          <w:tblGrid>
            <w:gridCol w:w="2115"/>
            <w:gridCol w:w="6750"/>
          </w:tblGrid>
        </w:tblGridChange>
      </w:tblGrid>
      <w:tr>
        <w:trPr>
          <w:cantSplit w:val="0"/>
          <w:tblHeader w:val="0"/>
        </w:trPr>
        <w:tc>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Auditory</w:t>
            </w:r>
          </w:p>
        </w:tc>
      </w:tr>
      <w:tr>
        <w:trPr>
          <w:cantSplit w:val="0"/>
          <w:tblHeader w:val="0"/>
        </w:trPr>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the transfer of information through listening: the spoken word, of self or others, of sounds and noises.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‘tell me’, ‘let’s talk it over’ and will be best able to perform a new task after listening to instructions from an expert. </w:t>
            </w:r>
            <w:r w:rsidDel="00000000" w:rsidR="00000000" w:rsidRPr="00000000">
              <w:rPr>
                <w:rtl w:val="0"/>
              </w:rPr>
            </w:r>
          </w:p>
        </w:tc>
      </w:tr>
      <w:tr>
        <w:trPr>
          <w:cantSplit w:val="0"/>
          <w:tblHeader w:val="0"/>
        </w:trPr>
        <w:tc>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38">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Engage the student in conversation about the subject </w:t>
            </w:r>
          </w:p>
          <w:p w:rsidR="00000000" w:rsidDel="00000000" w:rsidP="00000000" w:rsidRDefault="00000000" w:rsidRPr="00000000" w14:paraId="00000039">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Question students about the material</w:t>
            </w:r>
          </w:p>
          <w:p w:rsidR="00000000" w:rsidDel="00000000" w:rsidP="00000000" w:rsidRDefault="00000000" w:rsidRPr="00000000" w14:paraId="0000003A">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for oral summaries of material</w:t>
            </w:r>
          </w:p>
          <w:p w:rsidR="00000000" w:rsidDel="00000000" w:rsidP="00000000" w:rsidRDefault="00000000" w:rsidRPr="00000000" w14:paraId="0000003B">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lectures and review them with you</w:t>
            </w:r>
          </w:p>
          <w:p w:rsidR="00000000" w:rsidDel="00000000" w:rsidP="00000000" w:rsidRDefault="00000000" w:rsidRPr="00000000" w14:paraId="0000003C">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themselves reviewing material and listen to it together</w:t>
            </w:r>
          </w:p>
          <w:p w:rsidR="00000000" w:rsidDel="00000000" w:rsidP="00000000" w:rsidRDefault="00000000" w:rsidRPr="00000000" w14:paraId="0000003D">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Read material aloud to them</w:t>
            </w:r>
          </w:p>
          <w:p w:rsidR="00000000" w:rsidDel="00000000" w:rsidP="00000000" w:rsidRDefault="00000000" w:rsidRPr="00000000" w14:paraId="0000003E">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a talking calculator</w:t>
            </w:r>
            <w:r w:rsidDel="00000000" w:rsidR="00000000" w:rsidRPr="00000000">
              <w:rPr>
                <w:rtl w:val="0"/>
              </w:rPr>
            </w:r>
          </w:p>
          <w:p w:rsidR="00000000" w:rsidDel="00000000" w:rsidP="00000000" w:rsidRDefault="00000000" w:rsidRPr="00000000" w14:paraId="0000003F">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them put material to a rhythm or tune and rehearse aloud</w:t>
            </w:r>
            <w:r w:rsidDel="00000000" w:rsidR="00000000" w:rsidRPr="00000000">
              <w:rPr>
                <w:rtl w:val="0"/>
              </w:rPr>
            </w:r>
          </w:p>
        </w:tc>
      </w:tr>
    </w:tb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3"/>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6705"/>
        <w:tblGridChange w:id="0">
          <w:tblGrid>
            <w:gridCol w:w="2160"/>
            <w:gridCol w:w="6705"/>
          </w:tblGrid>
        </w:tblGridChange>
      </w:tblGrid>
      <w:tr>
        <w:trPr>
          <w:cantSplit w:val="0"/>
          <w:tblHeader w:val="0"/>
        </w:trPr>
        <w:tc>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Kinesthetic</w:t>
            </w:r>
          </w:p>
        </w:tc>
      </w:tr>
      <w:tr>
        <w:trPr>
          <w:cantSplit w:val="0"/>
          <w:tblHeader w:val="0"/>
        </w:trPr>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physical experience - touching, feeling, holding, doing, practical hands-on experiences. </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‘let me try’, ‘how do you feel?’ and will be best able to perform a new task by going ahead and trying it out, learning as they go. </w:t>
            </w:r>
            <w:r w:rsidDel="00000000" w:rsidR="00000000" w:rsidRPr="00000000">
              <w:rPr>
                <w:rtl w:val="0"/>
              </w:rPr>
            </w:r>
          </w:p>
        </w:tc>
      </w:tr>
      <w:tr>
        <w:trPr>
          <w:cantSplit w:val="0"/>
          <w:tblHeader w:val="0"/>
        </w:trPr>
        <w:tc>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48">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Write out checklists of materials to be learned or looked for</w:t>
            </w:r>
          </w:p>
          <w:p w:rsidR="00000000" w:rsidDel="00000000" w:rsidP="00000000" w:rsidRDefault="00000000" w:rsidRPr="00000000" w14:paraId="00000049">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Trace words and diagrams on paper</w:t>
            </w:r>
          </w:p>
          <w:p w:rsidR="00000000" w:rsidDel="00000000" w:rsidP="00000000" w:rsidRDefault="00000000" w:rsidRPr="00000000" w14:paraId="0000004A">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textured paper and experiment with different sizes of pens, pencils, and crayons to write down information</w:t>
            </w:r>
          </w:p>
          <w:p w:rsidR="00000000" w:rsidDel="00000000" w:rsidP="00000000" w:rsidRDefault="00000000" w:rsidRPr="00000000" w14:paraId="0000004B">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role-play or dramatize concepts. Students can move objects around to dramatize a concept or act out the concept themselves.</w:t>
            </w:r>
          </w:p>
          <w:p w:rsidR="00000000" w:rsidDel="00000000" w:rsidP="00000000" w:rsidRDefault="00000000" w:rsidRPr="00000000" w14:paraId="0000004C">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the student to envision a scene in which the material to be learned is being used or acted out somehow.  For example: a student could imagine being a character in a novel.</w:t>
            </w:r>
          </w:p>
          <w:p w:rsidR="00000000" w:rsidDel="00000000" w:rsidP="00000000" w:rsidRDefault="00000000" w:rsidRPr="00000000" w14:paraId="0000004D">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 student take notes (on paper, word processor, in textbooks) while reading or listening.</w:t>
            </w:r>
            <w:r w:rsidDel="00000000" w:rsidR="00000000" w:rsidRPr="00000000">
              <w:rPr>
                <w:rtl w:val="0"/>
              </w:rPr>
            </w:r>
          </w:p>
          <w:p w:rsidR="00000000" w:rsidDel="00000000" w:rsidP="00000000" w:rsidRDefault="00000000" w:rsidRPr="00000000" w14:paraId="0000004E">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some form of body movement (snapping fingers, pacing, mouthing ideas) while reciting material to be learned.</w:t>
            </w:r>
            <w:r w:rsidDel="00000000" w:rsidR="00000000" w:rsidRPr="00000000">
              <w:rPr>
                <w:rtl w:val="0"/>
              </w:rPr>
            </w:r>
          </w:p>
        </w:tc>
      </w:tr>
    </w:tbl>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i w:val="1"/>
          <w:sz w:val="20"/>
          <w:szCs w:val="20"/>
          <w:rtl w:val="0"/>
        </w:rPr>
        <w:t xml:space="preserve">Adapted from University of Massachusetts: Dartmouth</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i w:val="1"/>
          <w:sz w:val="20"/>
          <w:szCs w:val="20"/>
          <w:u w:val="single"/>
        </w:rPr>
      </w:pPr>
      <w:hyperlink r:id="rId10">
        <w:r w:rsidDel="00000000" w:rsidR="00000000" w:rsidRPr="00000000">
          <w:rPr>
            <w:i w:val="1"/>
            <w:color w:val="0000ff"/>
            <w:sz w:val="20"/>
            <w:szCs w:val="20"/>
            <w:u w:val="single"/>
            <w:rtl w:val="0"/>
          </w:rPr>
          <w:t xml:space="preserve">http://www.umassd.edu/dss/resources/facultystaff/howtoteachandaccommodate/howtoaccommodatedifferentlearningstyles/</w:t>
        </w:r>
      </w:hyperlink>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i w:val="1"/>
          <w:sz w:val="20"/>
          <w:szCs w:val="20"/>
          <w:u w:val="single"/>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fldChar w:fldCharType="end"/>
      </w:r>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Some research suggests that multiple intelligences may also affect how students learn.  Howard Gardner’s seminal work on this topic offers a good starting point to understanding how multiple intelligences can relate to student performance and teacher instructional decision-making.  </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Howard Gardner online: </w:t>
      </w:r>
      <w:hyperlink r:id="rId11">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An online guide to understanding multiple intelligences: </w:t>
      </w:r>
      <w:hyperlink r:id="rId12">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Also see the infographic on the following page:</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sz w:val="28"/>
          <w:szCs w:val="28"/>
        </w:rPr>
        <w:drawing>
          <wp:inline distB="0" distT="0" distL="0" distR="0">
            <wp:extent cx="5486400" cy="5448522"/>
            <wp:effectExtent b="0" l="0" r="0" t="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486400" cy="5448522"/>
                    </a:xfrm>
                    <a:prstGeom prst="rect"/>
                    <a:ln/>
                  </pic:spPr>
                </pic:pic>
              </a:graphicData>
            </a:graphic>
          </wp:inline>
        </w:drawing>
      </w:r>
      <w:r w:rsidDel="00000000" w:rsidR="00000000" w:rsidRPr="00000000">
        <w:rPr>
          <w:i w:val="1"/>
          <w:sz w:val="20"/>
          <w:szCs w:val="20"/>
          <w:rtl w:val="0"/>
        </w:rPr>
        <w:t xml:space="preserve">Image form Boise State University: </w:t>
      </w:r>
      <w:hyperlink r:id="rId14">
        <w:r w:rsidDel="00000000" w:rsidR="00000000" w:rsidRPr="00000000">
          <w:rPr>
            <w:i w:val="1"/>
            <w:color w:val="0000ff"/>
            <w:sz w:val="20"/>
            <w:szCs w:val="20"/>
            <w:u w:val="single"/>
            <w:rtl w:val="0"/>
          </w:rPr>
          <w:t xml:space="preserve">https://aae.boisestate.edu/know-your-learning-style/</w:t>
        </w:r>
      </w:hyperlink>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Physical Education Appendix B: </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Universal Design for Learning (UDL)</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One of the most research-supported instructional techniques for teaching struggling learners and students with various learning styles is through UDL.  UDL is organized around teacher creation of “choice menus” that offer students a range of tasks or assignments that are tagged with standard(s), learning style preferences, and more.  Teachers can then offer students the agency to choose their own route to mastering all of the standards for a particular lesson.  </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UDL is organized around providing multiple means for students in three areas:</w:t>
      </w:r>
    </w:p>
    <w:p w:rsidR="00000000" w:rsidDel="00000000" w:rsidP="00000000" w:rsidRDefault="00000000" w:rsidRPr="00000000" w14:paraId="0000007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engagement</w:t>
      </w:r>
      <w:r w:rsidDel="00000000" w:rsidR="00000000" w:rsidRPr="00000000">
        <w:rPr>
          <w:rtl w:val="0"/>
        </w:rPr>
      </w:r>
    </w:p>
    <w:p w:rsidR="00000000" w:rsidDel="00000000" w:rsidP="00000000" w:rsidRDefault="00000000" w:rsidRPr="00000000" w14:paraId="0000007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representation</w:t>
      </w:r>
      <w:r w:rsidDel="00000000" w:rsidR="00000000" w:rsidRPr="00000000">
        <w:rPr>
          <w:rtl w:val="0"/>
        </w:rPr>
      </w:r>
    </w:p>
    <w:p w:rsidR="00000000" w:rsidDel="00000000" w:rsidP="00000000" w:rsidRDefault="00000000" w:rsidRPr="00000000" w14:paraId="0000007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action and expression</w:t>
      </w: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infographic on the following page explains these topics more fully. </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CAST website contains an enormous variety of resources for understanding UDL and using it in classrooms.</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links below provide a wealth of UDL knowledge for teachers, administrators, parents, and students: </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CAST: </w:t>
      </w:r>
      <w:hyperlink r:id="rId15">
        <w:r w:rsidDel="00000000" w:rsidR="00000000" w:rsidRPr="00000000">
          <w:rPr>
            <w:rFonts w:ascii="Calibri" w:cs="Calibri" w:eastAsia="Calibri" w:hAnsi="Calibri"/>
            <w:color w:val="0000ff"/>
            <w:u w:val="single"/>
            <w:rtl w:val="0"/>
          </w:rPr>
          <w:t xml:space="preserve">http://www.cast.org/our-work/about-udl.html#.VrJILjYrLzI</w:t>
        </w:r>
      </w:hyperlink>
      <w:r w:rsidDel="00000000" w:rsidR="00000000" w:rsidRPr="00000000">
        <w:fldChar w:fldCharType="begin"/>
        <w:instrText xml:space="preserve"> HYPERLINK "http://www.cast.org/our-work/about-udl.html#.VrJILjYrLzI" </w:instrText>
        <w:fldChar w:fldCharType="separate"/>
      </w: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Center for UDL: </w:t>
      </w:r>
      <w:hyperlink r:id="rId16">
        <w:r w:rsidDel="00000000" w:rsidR="00000000" w:rsidRPr="00000000">
          <w:rPr>
            <w:rFonts w:ascii="Calibri" w:cs="Calibri" w:eastAsia="Calibri" w:hAnsi="Calibri"/>
            <w:color w:val="0000ff"/>
            <w:u w:val="single"/>
            <w:rtl w:val="0"/>
          </w:rPr>
          <w:t xml:space="preserve">http://www.udlcenter.org/</w:t>
        </w:r>
      </w:hyperlink>
      <w:r w:rsidDel="00000000" w:rsidR="00000000" w:rsidRPr="00000000">
        <w:fldChar w:fldCharType="begin"/>
        <w:instrText xml:space="preserve"> HYPERLINK "http://www.udlcenter.org/" </w:instrText>
        <w:fldChar w:fldCharType="separate"/>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UDL Theory and Practice: </w:t>
      </w:r>
      <w:hyperlink r:id="rId17">
        <w:r w:rsidDel="00000000" w:rsidR="00000000" w:rsidRPr="00000000">
          <w:rPr>
            <w:rFonts w:ascii="Calibri" w:cs="Calibri" w:eastAsia="Calibri" w:hAnsi="Calibri"/>
            <w:color w:val="0000ff"/>
            <w:u w:val="single"/>
            <w:rtl w:val="0"/>
          </w:rPr>
          <w:t xml:space="preserve">http://udltheorypractice.cast.org/home?4</w:t>
        </w:r>
      </w:hyperlink>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fldChar w:fldCharType="begin"/>
        <w:instrText xml:space="preserve"> HYPERLINK "http://udltheorypractice.cast.org/home?4" </w:instrText>
        <w:fldChar w:fldCharType="separate"/>
      </w:r>
      <w:r w:rsidDel="00000000" w:rsidR="00000000" w:rsidRPr="00000000">
        <w:rPr>
          <w:rFonts w:ascii="Calibri" w:cs="Calibri" w:eastAsia="Calibri" w:hAnsi="Calibri"/>
        </w:rPr>
        <w:drawing>
          <wp:inline distB="0" distT="0" distL="0" distR="0">
            <wp:extent cx="3602355" cy="3075017"/>
            <wp:effectExtent b="0" l="0" r="0" t="0"/>
            <wp:docPr id="5"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3602355" cy="3075017"/>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sz w:val="28"/>
          <w:szCs w:val="28"/>
        </w:rPr>
        <w:drawing>
          <wp:inline distB="0" distT="0" distL="114300" distR="114300">
            <wp:extent cx="8229601" cy="6359013"/>
            <wp:effectExtent b="0" l="0" r="0" t="0"/>
            <wp:docPr id="1"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rot="5400000">
                      <a:off x="0" y="0"/>
                      <a:ext cx="8229601" cy="6359013"/>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Physical Education Appendix C: Gifted and Talented</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NJDOE defines gifted and talented as: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Those students who possess or demonstrate high levels of ability, in one or more content areas, when compared to their chronological peers in the local district and who require modification of their educational program if they are to achieve in accordance with their capabilities.”</w:t>
      </w:r>
      <w:r w:rsidDel="00000000" w:rsidR="00000000" w:rsidRPr="00000000">
        <w:rPr>
          <w:rFonts w:ascii="Calibri" w:cs="Calibri" w:eastAsia="Calibri" w:hAnsi="Calibri"/>
          <w:i w:val="1"/>
          <w:vertAlign w:val="superscript"/>
        </w:rPr>
        <w:footnoteReference w:customMarkFollows="0" w:id="1"/>
      </w: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All schools are required to provide GT students with opportunities to develop themselves fully.  While this requirement is met programmatically through, for example, pull-out enrichment, GT-for-all classes, and Honors, AP, and independent study classes, it is important that teachers of all grades and subjects differentiate their instruction for GT students.  </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Teaching Gifted Learners</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4"/>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6948"/>
        <w:tblGridChange w:id="0">
          <w:tblGrid>
            <w:gridCol w:w="1908"/>
            <w:gridCol w:w="6948"/>
          </w:tblGrid>
        </w:tblGridChange>
      </w:tblGrid>
      <w:tr>
        <w:trPr>
          <w:cantSplit w:val="0"/>
          <w:tblHeader w:val="0"/>
        </w:trPr>
        <w:tc>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Consider curriculum condensing—how can you streamline the curriculum to make time for students to explore advanced or self-directed topics? </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Choose learning experiences organized by key concepts and principles of a discipline</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Topics that let students grapple with meaningful, real-world problems and pose plausible solutions</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Classrooms that provide both structure and choice</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 should not be limited to standard curriculum.</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May need a more rapid instructional pace or a pace that allows for deeper understanding and knowing</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Skill application at a higher degree of difficulty.  Consider how multi media and technology may play a role.  Expectations should include deeper thinking, greater leaps of insight, and comfort with probability and ambiguity in proposing solutions.  </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work to support students taking responsible risks with challenging material.  Students should be supported as they move through productive failure at challenging material.  Many GT students are averse to failure and will only challenge themselves to the point where they know they can succeed.  Teachers should push students out of their comfort zones and help them cope with failure and see the benefits of using it as a learning experience.  </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 should not be teacher-centered or be based primarily on teacher transfer of fact-based knowledge to students.</w:t>
            </w:r>
          </w:p>
        </w:tc>
      </w:tr>
      <w:tr>
        <w:trPr>
          <w:cantSplit w:val="0"/>
          <w:tblHeader w:val="0"/>
        </w:trPr>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encourage gifted students to consider how they can best show mastery of concepts.  Students should be involved in creating assessment rubrics and judging their work against high standards that they co-create. </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combine structure with choice and allow for multiple means of demonstration of mastery.  Students should be free to determine the best ways that their mastery can be demonstrated, with teacher consultation.  </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not be limited to typical, traditional, paper-based assessments. </w:t>
            </w:r>
          </w:p>
        </w:tc>
      </w:tr>
    </w:tbl>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Adapted from Tomlinson, C. A., “What it Means to Teach Gifted Learners Well”.  Available: </w:t>
      </w:r>
      <w:hyperlink r:id="rId20">
        <w:r w:rsidDel="00000000" w:rsidR="00000000" w:rsidRPr="00000000">
          <w:rPr>
            <w:rFonts w:ascii="Calibri" w:cs="Calibri" w:eastAsia="Calibri" w:hAnsi="Calibri"/>
            <w:i w:val="1"/>
            <w:color w:val="0000ff"/>
            <w:sz w:val="18"/>
            <w:szCs w:val="18"/>
            <w:u w:val="single"/>
            <w:rtl w:val="0"/>
          </w:rPr>
          <w:t xml:space="preserve">http://www.nagc.org/resources-publications/gifted-education-practices/what-it-means-teach-gifted-learners-well</w:t>
        </w:r>
      </w:hyperlink>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u w:val="single"/>
        </w:rPr>
      </w:pPr>
      <w:r w:rsidDel="00000000" w:rsidR="00000000" w:rsidRPr="00000000">
        <w:fldChar w:fldCharType="end"/>
      </w:r>
      <w:r w:rsidDel="00000000" w:rsidR="00000000" w:rsidRPr="00000000">
        <w:rPr>
          <w:rFonts w:ascii="Calibri" w:cs="Calibri" w:eastAsia="Calibri" w:hAnsi="Calibri"/>
          <w:b w:val="1"/>
          <w:u w:val="single"/>
          <w:rtl w:val="0"/>
        </w:rPr>
        <w:t xml:space="preserve">GT Resources</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National Society for Gifted and Talented: </w:t>
      </w:r>
      <w:hyperlink r:id="rId21">
        <w:r w:rsidDel="00000000" w:rsidR="00000000" w:rsidRPr="00000000">
          <w:rPr>
            <w:rFonts w:ascii="Calibri" w:cs="Calibri" w:eastAsia="Calibri" w:hAnsi="Calibri"/>
            <w:color w:val="0000ff"/>
            <w:u w:val="single"/>
            <w:rtl w:val="0"/>
          </w:rPr>
          <w:t xml:space="preserve">http://www.nsgt.org/</w:t>
        </w:r>
      </w:hyperlink>
      <w:r w:rsidDel="00000000" w:rsidR="00000000" w:rsidRPr="00000000">
        <w:fldChar w:fldCharType="begin"/>
        <w:instrText xml:space="preserve"> HYPERLINK "http://www.nsgt.org/" </w:instrText>
        <w:fldChar w:fldCharType="separate"/>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Association for Gifted Children: </w:t>
      </w:r>
      <w:hyperlink r:id="rId22">
        <w:r w:rsidDel="00000000" w:rsidR="00000000" w:rsidRPr="00000000">
          <w:rPr>
            <w:rFonts w:ascii="Calibri" w:cs="Calibri" w:eastAsia="Calibri" w:hAnsi="Calibri"/>
            <w:color w:val="0000ff"/>
            <w:u w:val="single"/>
            <w:rtl w:val="0"/>
          </w:rPr>
          <w:t xml:space="preserve">https://www.nagc.org/</w:t>
        </w:r>
      </w:hyperlink>
      <w:r w:rsidDel="00000000" w:rsidR="00000000" w:rsidRPr="00000000">
        <w:fldChar w:fldCharType="begin"/>
        <w:instrText xml:space="preserve"> HYPERLINK "https://www.nagc.org/" </w:instrText>
        <w:fldChar w:fldCharType="separate"/>
      </w: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New Jersey Association for Gifted Children: http://www.njagc.org/</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124325" cy="7686675"/>
            <wp:effectExtent b="0" l="0" r="0" t="0"/>
            <wp:docPr id="7"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4124325" cy="7686675"/>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Adapted from</w:t>
      </w:r>
      <w:hyperlink r:id="rId24">
        <w:r w:rsidDel="00000000" w:rsidR="00000000" w:rsidRPr="00000000">
          <w:rPr>
            <w:rFonts w:ascii="Calibri" w:cs="Calibri" w:eastAsia="Calibri" w:hAnsi="Calibri"/>
            <w:color w:val="1155cc"/>
            <w:u w:val="single"/>
            <w:rtl w:val="0"/>
          </w:rPr>
          <w:t xml:space="preserve"> “Sports that Work for Gifted Children,” available here</w:t>
        </w:r>
      </w:hyperlink>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Information on assessment of gifted children, excerpted from </w:t>
      </w:r>
      <w:hyperlink r:id="rId25">
        <w:r w:rsidDel="00000000" w:rsidR="00000000" w:rsidRPr="00000000">
          <w:rPr>
            <w:rFonts w:ascii="Calibri" w:cs="Calibri" w:eastAsia="Calibri" w:hAnsi="Calibri"/>
            <w:color w:val="1155cc"/>
            <w:u w:val="single"/>
            <w:rtl w:val="0"/>
          </w:rPr>
          <w:t xml:space="preserve">Ndahi, P.M. &amp; Badaki, O.L., (2014, November-December). “Evaluation of Physical Education, Sports and Recreation for the Gifted.” IOSR Journal of Sports and Physical Education, Volume 1, Issue 7. </w:t>
        </w:r>
      </w:hyperlink>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330166" cy="3738563"/>
            <wp:effectExtent b="0" l="0" r="0" t="0"/>
            <wp:docPr id="3"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6330166" cy="3738563"/>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Some things to consider in determining giftedness in PE:</w:t>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486400" cy="3009900"/>
            <wp:effectExtent b="0" l="0" r="0" t="0"/>
            <wp:docPr id="6" name="image6.png"/>
            <a:graphic>
              <a:graphicData uri="http://schemas.openxmlformats.org/drawingml/2006/picture">
                <pic:pic>
                  <pic:nvPicPr>
                    <pic:cNvPr id="0" name="image6.png"/>
                    <pic:cNvPicPr preferRelativeResize="0"/>
                  </pic:nvPicPr>
                  <pic:blipFill>
                    <a:blip r:embed="rId27"/>
                    <a:srcRect b="0" l="0" r="0" t="0"/>
                    <a:stretch>
                      <a:fillRect/>
                    </a:stretch>
                  </pic:blipFill>
                  <pic:spPr>
                    <a:xfrm>
                      <a:off x="0" y="0"/>
                      <a:ext cx="5486400" cy="3009900"/>
                    </a:xfrm>
                    <a:prstGeom prst="rect"/>
                    <a:ln/>
                  </pic:spPr>
                </pic:pic>
              </a:graphicData>
            </a:graphic>
          </wp:inline>
        </w:drawing>
      </w: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Style w:val="FootnoteReference"/>
          <w:vertAlign w:val="superscript"/>
        </w:rPr>
        <w:footnoteRef/>
      </w:r>
      <w:r w:rsidDel="00000000" w:rsidR="00000000" w:rsidRPr="00000000">
        <w:rPr>
          <w:rFonts w:ascii="Cambria" w:cs="Cambria" w:eastAsia="Cambria" w:hAnsi="Cambria"/>
          <w:b w:val="0"/>
          <w:sz w:val="24"/>
          <w:szCs w:val="24"/>
          <w:rtl w:val="0"/>
        </w:rPr>
        <w:t xml:space="preserve"> </w:t>
      </w:r>
      <w:r w:rsidDel="00000000" w:rsidR="00000000" w:rsidRPr="00000000">
        <w:rPr>
          <w:rFonts w:ascii="Cambria" w:cs="Cambria" w:eastAsia="Cambria" w:hAnsi="Cambria"/>
          <w:b w:val="0"/>
          <w:sz w:val="20"/>
          <w:szCs w:val="20"/>
          <w:rtl w:val="0"/>
        </w:rPr>
        <w:t xml:space="preserve">Adapted from National Center for Learning Disabilities, (2005) </w:t>
      </w:r>
      <w:hyperlink r:id="rId1">
        <w:r w:rsidDel="00000000" w:rsidR="00000000" w:rsidRPr="00000000">
          <w:rPr>
            <w:rFonts w:ascii="Cambria" w:cs="Cambria" w:eastAsia="Cambria" w:hAnsi="Cambria"/>
            <w:b w:val="0"/>
            <w:color w:val="0000ff"/>
            <w:sz w:val="20"/>
            <w:szCs w:val="20"/>
            <w:u w:val="single"/>
            <w:rtl w:val="0"/>
          </w:rPr>
          <w:t xml:space="preserve">http://www.cehd.umn.edu/nceo/onlinepubs/NCLD/Accommodations.pdf</w:t>
        </w:r>
      </w:hyperlink>
      <w:r w:rsidDel="00000000" w:rsidR="00000000" w:rsidRPr="00000000">
        <w:fldChar w:fldCharType="begin"/>
        <w:instrText xml:space="preserve"> HYPERLINK "http://www.cehd.umn.edu/nceo/onlinepubs/NCLD/Accommodations.pdf" </w:instrText>
        <w:fldChar w:fldCharType="separate"/>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footnote>
  <w:footnote w:id="1">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mbria" w:cs="Cambria" w:eastAsia="Cambria" w:hAnsi="Cambria"/>
          <w:b w:val="0"/>
          <w:sz w:val="20"/>
          <w:szCs w:val="20"/>
        </w:rPr>
      </w:pPr>
      <w:r w:rsidDel="00000000" w:rsidR="00000000" w:rsidRPr="00000000">
        <w:fldChar w:fldCharType="end"/>
      </w:r>
      <w:r w:rsidDel="00000000" w:rsidR="00000000" w:rsidRPr="00000000">
        <w:rPr>
          <w:rFonts w:ascii="Cambria" w:cs="Cambria" w:eastAsia="Cambria" w:hAnsi="Cambria"/>
          <w:b w:val="0"/>
          <w:sz w:val="20"/>
          <w:szCs w:val="20"/>
          <w:rtl w:val="0"/>
        </w:rPr>
        <w:t xml:space="preserve"> http://www.state.nj.us/education/genfo/faq/faq_gandt.htm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100" w:before="100" w:line="240" w:lineRule="auto"/>
    </w:pPr>
    <w:rPr>
      <w:rFonts w:ascii="Times" w:cs="Times" w:eastAsia="Times" w:hAnsi="Times"/>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nagc.org/resources-publications/gifted-education-practices/what-it-means-teach-gifted-learners-well" TargetMode="External"/><Relationship Id="rId22" Type="http://schemas.openxmlformats.org/officeDocument/2006/relationships/hyperlink" Target="https://www.nagc.org/" TargetMode="External"/><Relationship Id="rId21" Type="http://schemas.openxmlformats.org/officeDocument/2006/relationships/hyperlink" Target="http://www.nsgt.org/" TargetMode="External"/><Relationship Id="rId24" Type="http://schemas.openxmlformats.org/officeDocument/2006/relationships/hyperlink" Target="https://www.nagc.org/sites/default/files/Publication%20PHP/Sports%20that%20Work%20for%20Gifted%20Children%20March%202018%20PHP.pdf" TargetMode="External"/><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heartlandaea.org/special-education/special-education-services/ape/adapted-physical-activities" TargetMode="External"/><Relationship Id="rId26" Type="http://schemas.openxmlformats.org/officeDocument/2006/relationships/image" Target="media/image5.png"/><Relationship Id="rId25" Type="http://schemas.openxmlformats.org/officeDocument/2006/relationships/hyperlink" Target="https://drive.google.com/open?id=1I7L8V6OjBHAlG3mCw9vP9JzTHanRYB-g" TargetMode="External"/><Relationship Id="rId27" Type="http://schemas.openxmlformats.org/officeDocument/2006/relationships/image" Target="media/image6.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rive.google.com/open?id=1ZGOFRrggKmazitABqzzyH27pt09IAJVB" TargetMode="External"/><Relationship Id="rId8" Type="http://schemas.openxmlformats.org/officeDocument/2006/relationships/image" Target="media/image3.png"/><Relationship Id="rId11" Type="http://schemas.openxmlformats.org/officeDocument/2006/relationships/hyperlink" Target="http://www.tecweb.org/styles/gardner.html" TargetMode="External"/><Relationship Id="rId10" Type="http://schemas.openxmlformats.org/officeDocument/2006/relationships/hyperlink" Target="http://www.umassd.edu/dss/resources/facultystaff/howtoteachandaccommodate/howtoaccommodatedifferentlearningstyles/" TargetMode="External"/><Relationship Id="rId13" Type="http://schemas.openxmlformats.org/officeDocument/2006/relationships/image" Target="media/image2.png"/><Relationship Id="rId12" Type="http://schemas.openxmlformats.org/officeDocument/2006/relationships/hyperlink" Target="http://www.tecweb.org/styles/gardner.html" TargetMode="External"/><Relationship Id="rId15" Type="http://schemas.openxmlformats.org/officeDocument/2006/relationships/hyperlink" Target="http://www.cast.org/our-work/about-udl.html#.VrJILjYrLzI" TargetMode="External"/><Relationship Id="rId14" Type="http://schemas.openxmlformats.org/officeDocument/2006/relationships/hyperlink" Target="https://aae.boisestate.edu/know-your-learning-style/" TargetMode="External"/><Relationship Id="rId17" Type="http://schemas.openxmlformats.org/officeDocument/2006/relationships/hyperlink" Target="http://udltheorypractice.cast.org/home?4" TargetMode="External"/><Relationship Id="rId16" Type="http://schemas.openxmlformats.org/officeDocument/2006/relationships/hyperlink" Target="http://www.udlcenter.org/" TargetMode="External"/><Relationship Id="rId19" Type="http://schemas.openxmlformats.org/officeDocument/2006/relationships/image" Target="media/image1.png"/><Relationship Id="rId18"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cehd.umn.edu/nceo/onlinepubs/NCLD/Accommo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