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Math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math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1-2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26507" cy="446231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6507" cy="4462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1-2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26332" cy="376548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6332" cy="3765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