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Math </w:t>
      </w:r>
      <w:r w:rsidDel="00000000" w:rsidR="00000000" w:rsidRPr="00000000">
        <w:rPr>
          <w:b w:val="1"/>
          <w:sz w:val="32"/>
          <w:szCs w:val="32"/>
          <w:rtl w:val="0"/>
        </w:rPr>
        <w:t xml:space="preserve">Appendix A: Accommodations and Modifications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3">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4">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5">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6">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7">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8">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9">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3">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4">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5">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6">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7">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8">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3">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4">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5">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6">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7">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8">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9">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Also see the infographic on the following page:</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Several strategies excerpted from materials from the Council for Learning Disabilities:</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62638" cy="5007670"/>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62638" cy="500767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486400" cy="2832100"/>
            <wp:effectExtent b="0" l="0" r="0" t="0"/>
            <wp:docPr id="3"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486400" cy="28321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Math Appendix B: Universal Design for Learning (UDL)</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8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8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8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4">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15">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16">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UDL for Math (contains extensive choice maps and other info tailored for math classrooms): </w:t>
      </w:r>
      <w:hyperlink r:id="rId17">
        <w:r w:rsidDel="00000000" w:rsidR="00000000" w:rsidRPr="00000000">
          <w:rPr>
            <w:color w:val="1155cc"/>
            <w:u w:val="single"/>
            <w:rtl w:val="0"/>
          </w:rPr>
          <w:t xml:space="preserve">https://sites.google.com/site/703gse/udl-for-math-calucation-and-problem-solving</w:t>
        </w:r>
      </w:hyperlink>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rFonts w:ascii="Calibri" w:cs="Calibri" w:eastAsia="Calibri" w:hAnsi="Calibri"/>
        </w:rPr>
        <w:drawing>
          <wp:inline distB="0" distT="0" distL="0" distR="0">
            <wp:extent cx="4319425" cy="3690938"/>
            <wp:effectExtent b="0" l="0" r="0" t="0"/>
            <wp:docPr id="5"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4319425" cy="3690938"/>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2"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Math Appendix C: Gifted and Talented</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20">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1">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2">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3">
        <w:r w:rsidDel="00000000" w:rsidR="00000000" w:rsidRPr="00000000">
          <w:rPr>
            <w:rFonts w:ascii="Calibri" w:cs="Calibri" w:eastAsia="Calibri" w:hAnsi="Calibri"/>
            <w:color w:val="0000ff"/>
            <w:u w:val="single"/>
            <w:rtl w:val="0"/>
          </w:rPr>
          <w:t xml:space="preserve">http://www.njagc.org/</w:t>
        </w:r>
      </w:hyperlink>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4">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1"/>
      <w:bookmarkEnd w:id="1"/>
      <w:r w:rsidDel="00000000" w:rsidR="00000000" w:rsidRPr="00000000">
        <w:fldChar w:fldCharType="end"/>
      </w:r>
      <w:r w:rsidDel="00000000" w:rsidR="00000000" w:rsidRPr="00000000">
        <w:rPr>
          <w:rtl w:val="0"/>
        </w:rPr>
        <w:t xml:space="preserve">Additional Specific Info for GT Students in the Math Context</w:t>
      </w:r>
    </w:p>
    <w:p w:rsidR="00000000" w:rsidDel="00000000" w:rsidP="00000000" w:rsidRDefault="00000000" w:rsidRPr="00000000" w14:paraId="000000F5">
      <w:pPr>
        <w:pageBreakBefore w:val="0"/>
        <w:rPr>
          <w:rFonts w:ascii="Calibri" w:cs="Calibri" w:eastAsia="Calibri" w:hAnsi="Calibri"/>
        </w:rPr>
      </w:pPr>
      <w:r w:rsidDel="00000000" w:rsidR="00000000" w:rsidRPr="00000000">
        <w:rPr>
          <w:rFonts w:ascii="Calibri" w:cs="Calibri" w:eastAsia="Calibri" w:hAnsi="Calibri"/>
          <w:rtl w:val="0"/>
        </w:rPr>
        <w:t xml:space="preserve">For GT students in math it is important to provide as many opportunities as possible for self-directed work that supports a student’s natural interests.  Students may benefit from working on application of math into real-world contexts, particularly with cross-curricular transfer into science, engineering, art, music, and other disciplines that incorporate math.   </w:t>
      </w:r>
    </w:p>
    <w:p w:rsidR="00000000" w:rsidDel="00000000" w:rsidP="00000000" w:rsidRDefault="00000000" w:rsidRPr="00000000" w14:paraId="000000F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F7">
      <w:pPr>
        <w:pageBreakBefore w:val="0"/>
        <w:rPr>
          <w:rFonts w:ascii="Calibri" w:cs="Calibri" w:eastAsia="Calibri" w:hAnsi="Calibri"/>
        </w:rPr>
      </w:pPr>
      <w:hyperlink r:id="rId24">
        <w:r w:rsidDel="00000000" w:rsidR="00000000" w:rsidRPr="00000000">
          <w:rPr>
            <w:rFonts w:ascii="Calibri" w:cs="Calibri" w:eastAsia="Calibri" w:hAnsi="Calibri"/>
            <w:color w:val="1155cc"/>
            <w:u w:val="single"/>
            <w:rtl w:val="0"/>
          </w:rPr>
          <w:t xml:space="preserve">The Davidson Gifted Database: Math </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provides many links to lessons, projects, assessments, and materials for GT students in math-- there are also plenty of materials for parents and families of GT students in order to better develop supportive parent partnerships for GT students.  Various online and distance learning opportunities are also catalogued; be sure to collaborate with building administration as you look to pursue opportunities outside the school for your GT students.</w:t>
      </w:r>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"http://www.njagc.org/" </w:instrText>
        <w:fldChar w:fldCharType="separate"/>
      </w:r>
      <w:r w:rsidDel="00000000" w:rsidR="00000000" w:rsidRPr="00000000">
        <w:rPr>
          <w:rtl w:val="0"/>
        </w:rPr>
      </w:r>
      <w:r w:rsidDel="00000000" w:rsidR="00000000" w:rsidRPr="00000000">
        <w:fldChar w:fldCharType="end"/>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agc.org/resources-publications/gifted-education-practices/what-it-means-teach-gifted-learners-well" TargetMode="External"/><Relationship Id="rId11" Type="http://schemas.openxmlformats.org/officeDocument/2006/relationships/hyperlink" Target="https://aae.boisestate.edu/know-your-learning-style/" TargetMode="External"/><Relationship Id="rId22" Type="http://schemas.openxmlformats.org/officeDocument/2006/relationships/hyperlink" Target="https://www.nagc.org/" TargetMode="External"/><Relationship Id="rId10" Type="http://schemas.openxmlformats.org/officeDocument/2006/relationships/image" Target="media/image5.png"/><Relationship Id="rId21" Type="http://schemas.openxmlformats.org/officeDocument/2006/relationships/hyperlink" Target="http://www.nsgt.org/" TargetMode="External"/><Relationship Id="rId13" Type="http://schemas.openxmlformats.org/officeDocument/2006/relationships/image" Target="media/image3.png"/><Relationship Id="rId24" Type="http://schemas.openxmlformats.org/officeDocument/2006/relationships/hyperlink" Target="https://www.davidsongifted.org/Search-Database/topic/105136/entryType/1" TargetMode="External"/><Relationship Id="rId12" Type="http://schemas.openxmlformats.org/officeDocument/2006/relationships/image" Target="media/image1.png"/><Relationship Id="rId23" Type="http://schemas.openxmlformats.org/officeDocument/2006/relationships/hyperlink" Target="http://www.njag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15" Type="http://schemas.openxmlformats.org/officeDocument/2006/relationships/hyperlink" Target="http://www.udlcenter.org/" TargetMode="External"/><Relationship Id="rId14" Type="http://schemas.openxmlformats.org/officeDocument/2006/relationships/hyperlink" Target="http://www.cast.org/our-work/about-udl.html#.VrJILjYrLzI" TargetMode="External"/><Relationship Id="rId17" Type="http://schemas.openxmlformats.org/officeDocument/2006/relationships/hyperlink" Target="https://sites.google.com/site/703gse/udl-for-math-calucation-and-problem-solving" TargetMode="External"/><Relationship Id="rId16" Type="http://schemas.openxmlformats.org/officeDocument/2006/relationships/hyperlink" Target="http://udltheorypractice.cast.org/home?4" TargetMode="External"/><Relationship Id="rId5" Type="http://schemas.openxmlformats.org/officeDocument/2006/relationships/numbering" Target="numbering.xml"/><Relationship Id="rId19" Type="http://schemas.openxmlformats.org/officeDocument/2006/relationships/image" Target="media/image4.png"/><Relationship Id="rId6" Type="http://schemas.openxmlformats.org/officeDocument/2006/relationships/styles" Target="styles.xml"/><Relationship Id="rId18" Type="http://schemas.openxmlformats.org/officeDocument/2006/relationships/image" Target="media/image2.png"/><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