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Business and Technology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social media for engagement with businesses for research or other communication </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 </w:t>
            </w:r>
            <w:r w:rsidDel="00000000" w:rsidR="00000000" w:rsidRPr="00000000">
              <w:rPr>
                <w:rFonts w:ascii="Calibri" w:cs="Calibri" w:eastAsia="Calibri" w:hAnsi="Calibri"/>
                <w:sz w:val="20"/>
                <w:szCs w:val="20"/>
                <w:rtl w:val="0"/>
              </w:rPr>
              <w:t xml:space="preserve">especially for entrepreneurship</w:t>
            </w:r>
            <w:r w:rsidDel="00000000" w:rsidR="00000000" w:rsidRPr="00000000">
              <w:rPr>
                <w:rtl w:val="0"/>
              </w:rPr>
            </w:r>
          </w:p>
          <w:p w:rsidR="00000000" w:rsidDel="00000000" w:rsidP="00000000" w:rsidRDefault="00000000" w:rsidRPr="00000000" w14:paraId="000000D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r w:rsidDel="00000000" w:rsidR="00000000" w:rsidRPr="00000000">
              <w:rPr>
                <w:rtl w:val="0"/>
              </w:rPr>
            </w:r>
          </w:p>
        </w:tc>
      </w:tr>
    </w:tbl>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r w:rsidDel="00000000" w:rsidR="00000000" w:rsidRPr="00000000">
              <w:rPr>
                <w:rtl w:val="0"/>
              </w:rPr>
            </w:r>
          </w:p>
          <w:p w:rsidR="00000000" w:rsidDel="00000000" w:rsidP="00000000" w:rsidRDefault="00000000" w:rsidRPr="00000000" w14:paraId="000001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blend multiple online technologies (social media, software, etc.) to practice business practices</w:t>
            </w:r>
          </w:p>
        </w:tc>
      </w:tr>
    </w:tb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Investigation into how technology alters communication and business practices and interactions with partners, customers, and other stakeholders</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r w:rsidDel="00000000" w:rsidR="00000000" w:rsidRPr="00000000">
              <w:rPr>
                <w:rtl w:val="0"/>
              </w:rPr>
            </w:r>
          </w:p>
          <w:p w:rsidR="00000000" w:rsidDel="00000000" w:rsidP="00000000" w:rsidRDefault="00000000" w:rsidRPr="00000000" w14:paraId="0000019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Lessons on business sustainability and social responsibility</w:t>
            </w:r>
          </w:p>
        </w:tc>
      </w:tr>
    </w:tbl>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E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3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r w:rsidDel="00000000" w:rsidR="00000000" w:rsidRPr="00000000">
              <w:rPr>
                <w:rtl w:val="0"/>
              </w:rPr>
            </w:r>
          </w:p>
        </w:tc>
      </w:tr>
    </w:tbl>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6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Investigation into how processing with technology shapes business platforms</w:t>
            </w:r>
            <w:r w:rsidDel="00000000" w:rsidR="00000000" w:rsidRPr="00000000">
              <w:rPr>
                <w:rtl w:val="0"/>
              </w:rPr>
            </w:r>
          </w:p>
        </w:tc>
      </w:tr>
    </w:tbl>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