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ELA </w:t>
      </w:r>
      <w:r w:rsidDel="00000000" w:rsidR="00000000" w:rsidRPr="00000000">
        <w:rPr>
          <w:b w:val="1"/>
          <w:sz w:val="32"/>
          <w:szCs w:val="32"/>
          <w:rtl w:val="0"/>
        </w:rPr>
        <w:t xml:space="preserve">Appendix A: Accommodations and Modifications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in ELA: Resources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6930"/>
        <w:tblGridChange w:id="0">
          <w:tblGrid>
            <w:gridCol w:w="1935"/>
            <w:gridCol w:w="6930"/>
          </w:tblGrid>
        </w:tblGridChange>
      </w:tblGrid>
      <w:tr>
        <w:trPr>
          <w:cantSplit w:val="0"/>
          <w:tblHeader w:val="0"/>
        </w:trPr>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3">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4">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5">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6900"/>
        <w:tblGridChange w:id="0">
          <w:tblGrid>
            <w:gridCol w:w="1965"/>
            <w:gridCol w:w="6900"/>
          </w:tblGrid>
        </w:tblGridChange>
      </w:tblGrid>
      <w:tr>
        <w:trPr>
          <w:cantSplit w:val="0"/>
          <w:tblHeader w:val="0"/>
        </w:trPr>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3">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4">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5">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6">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7">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8">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9">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A">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6915"/>
        <w:tblGridChange w:id="0">
          <w:tblGrid>
            <w:gridCol w:w="1950"/>
            <w:gridCol w:w="6915"/>
          </w:tblGrid>
        </w:tblGridChange>
      </w:tblGrid>
      <w:tr>
        <w:trPr>
          <w:cantSplit w:val="0"/>
          <w:tblHeader w:val="0"/>
        </w:trPr>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3">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4">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5">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6">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7">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8">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9">
            <w:pPr>
              <w:pageBreakBefore w:val="0"/>
              <w:numPr>
                <w:ilvl w:val="0"/>
                <w:numId w:val="5"/>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ELA Appendix B: Universal Design for Learning (UDL)</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6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6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6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2">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13">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14">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602355" cy="3075017"/>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602355" cy="3075017"/>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ys9a95u3l3yy" w:id="1"/>
      <w:bookmarkEnd w:id="1"/>
      <w:r w:rsidDel="00000000" w:rsidR="00000000" w:rsidRPr="00000000">
        <w:fldChar w:fldCharType="end"/>
      </w:r>
      <w:r w:rsidDel="00000000" w:rsidR="00000000" w:rsidRPr="00000000">
        <w:rPr>
          <w:rtl w:val="0"/>
        </w:rPr>
        <w:t xml:space="preserve">Specific Info for Special Education in the ELA Context</w:t>
      </w:r>
    </w:p>
    <w:p w:rsidR="00000000" w:rsidDel="00000000" w:rsidP="00000000" w:rsidRDefault="00000000" w:rsidRPr="00000000" w14:paraId="0000007A">
      <w:pPr>
        <w:pageBreakBefore w:val="0"/>
        <w:rPr/>
      </w:pPr>
      <w:r w:rsidDel="00000000" w:rsidR="00000000" w:rsidRPr="00000000">
        <w:rPr>
          <w:i w:val="1"/>
          <w:rtl w:val="0"/>
        </w:rPr>
        <w:t xml:space="preserve">adapted from Council for Exceptional Children </w:t>
      </w:r>
      <w:r w:rsidDel="00000000" w:rsidR="00000000" w:rsidRPr="00000000">
        <w:rPr>
          <w:rtl w:val="0"/>
        </w:rPr>
        <w:t xml:space="preserve">(</w:t>
      </w:r>
      <w:hyperlink r:id="rId17">
        <w:r w:rsidDel="00000000" w:rsidR="00000000" w:rsidRPr="00000000">
          <w:rPr>
            <w:color w:val="1155cc"/>
            <w:u w:val="single"/>
            <w:rtl w:val="0"/>
          </w:rPr>
          <w:t xml:space="preserve">https://www.cec.sped.org/News/Special-Education-Today/Need-to-Know/Need-to-Know-ELA-Standards-for-SWCIN</w:t>
        </w:r>
      </w:hyperlink>
      <w:r w:rsidDel="00000000" w:rsidR="00000000" w:rsidRPr="00000000">
        <w:rPr>
          <w:rtl w:val="0"/>
        </w:rPr>
        <w:t xml:space="preserve">)</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rFonts w:ascii="Arial" w:cs="Arial" w:eastAsia="Arial" w:hAnsi="Arial"/>
          <w:b w:val="0"/>
          <w:color w:val="303234"/>
          <w:sz w:val="29"/>
          <w:szCs w:val="29"/>
        </w:rPr>
      </w:pPr>
      <w:bookmarkStart w:colFirst="0" w:colLast="0" w:name="_f6y7xlxhpdbh" w:id="2"/>
      <w:bookmarkEnd w:id="2"/>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b w:val="0"/>
          <w:color w:val="303234"/>
          <w:sz w:val="29"/>
          <w:szCs w:val="29"/>
          <w:rtl w:val="0"/>
        </w:rPr>
        <w:t xml:space="preserve">Shifting Literacy</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shd w:fill="f5f7f8" w:val="clear"/>
        <w:spacing w:after="220" w:lineRule="auto"/>
        <w:rPr>
          <w:rFonts w:ascii="Arial" w:cs="Arial" w:eastAsia="Arial" w:hAnsi="Arial"/>
          <w:color w:val="303234"/>
          <w:sz w:val="21"/>
          <w:szCs w:val="21"/>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A key change in literacy is a move away from the idea of a ladder where each skill is dependent on the prior one, to our understanding of learning progressions. Universal Design for Learning (UDL), and the proliferation of accessible technology means that skills formerly considered prerequisites may now be supported with technology.</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shd w:fill="f5f7f8" w:val="clear"/>
        <w:spacing w:after="220" w:lineRule="auto"/>
        <w:rPr>
          <w:rFonts w:ascii="Arial" w:cs="Arial" w:eastAsia="Arial" w:hAnsi="Arial"/>
          <w:color w:val="303234"/>
          <w:sz w:val="21"/>
          <w:szCs w:val="21"/>
        </w:rPr>
      </w:pPr>
      <w:r w:rsidDel="00000000" w:rsidR="00000000" w:rsidRPr="00000000">
        <w:fldChar w:fldCharType="end"/>
      </w:r>
      <w:hyperlink r:id="rId18">
        <w:r w:rsidDel="00000000" w:rsidR="00000000" w:rsidRPr="00000000">
          <w:rPr>
            <w:rFonts w:ascii="Arial" w:cs="Arial" w:eastAsia="Arial" w:hAnsi="Arial"/>
            <w:b w:val="1"/>
            <w:color w:val="303234"/>
            <w:sz w:val="21"/>
            <w:szCs w:val="21"/>
            <w:rtl w:val="0"/>
          </w:rPr>
          <w:t xml:space="preserve">Learning progressions</w:t>
        </w:r>
      </w:hyperlink>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 encapsulate the idea that there are multiple paths to learn a skill or concept, and,  given that premise, it may be possible to work around particular discrete “prerequisites” to achieve the larger understanding. For instance, phonics and phonemic awareness are important parts of decoding words, but other supports should be in place so that texts may be enjoyed and used as instructional resources. Knowing the alphabet is not going to help a student make sense of texts.</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shd w:fill="f5f7f8" w:val="clear"/>
        <w:spacing w:after="220" w:lineRule="auto"/>
        <w:rPr>
          <w:rFonts w:ascii="Arial" w:cs="Arial" w:eastAsia="Arial" w:hAnsi="Arial"/>
          <w:color w:val="303234"/>
          <w:sz w:val="21"/>
          <w:szCs w:val="21"/>
        </w:rPr>
      </w:pPr>
      <w:r w:rsidDel="00000000" w:rsidR="00000000" w:rsidRPr="00000000">
        <w:fldChar w:fldCharType="end"/>
      </w:r>
      <w:hyperlink r:id="rId19">
        <w:r w:rsidDel="00000000" w:rsidR="00000000" w:rsidRPr="00000000">
          <w:rPr>
            <w:rFonts w:ascii="Arial" w:cs="Arial" w:eastAsia="Arial" w:hAnsi="Arial"/>
            <w:b w:val="1"/>
            <w:color w:val="303234"/>
            <w:sz w:val="21"/>
            <w:szCs w:val="21"/>
            <w:rtl w:val="0"/>
          </w:rPr>
          <w:t xml:space="preserve">Building lessons with the three principles of UDL</w:t>
        </w:r>
      </w:hyperlink>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 (multiple means of representation, multiple means of expression, and multiple means of engagement) supports students with moderate to severe disabilities interacting with complex texts. UDL addresses some of the key changes outlined by the CCSS for literacy instruction:</w:t>
      </w:r>
    </w:p>
    <w:p w:rsidR="00000000" w:rsidDel="00000000" w:rsidP="00000000" w:rsidRDefault="00000000" w:rsidRPr="00000000" w14:paraId="00000080">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303234"/>
          <w:sz w:val="21"/>
          <w:szCs w:val="21"/>
          <w:rtl w:val="0"/>
        </w:rPr>
        <w:t xml:space="preserve">Focus on the ends rather than the means.  Is it necessary for students to use a pencil for their rough draft and a pen for the final copy of their persuasive letter? Or, are there more essential understandings that are vital for literacy instruction? The essential understanding may be that students see writing as a form of communication, or that writing for different purposes requires different language and formats.</w:t>
      </w:r>
    </w:p>
    <w:p w:rsidR="00000000" w:rsidDel="00000000" w:rsidP="00000000" w:rsidRDefault="00000000" w:rsidRPr="00000000" w14:paraId="00000081">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1060" w:hanging="360"/>
      </w:pPr>
      <w:r w:rsidDel="00000000" w:rsidR="00000000" w:rsidRPr="00000000">
        <w:rPr>
          <w:rFonts w:ascii="Arial" w:cs="Arial" w:eastAsia="Arial" w:hAnsi="Arial"/>
          <w:color w:val="303234"/>
          <w:sz w:val="21"/>
          <w:szCs w:val="21"/>
          <w:rtl w:val="0"/>
        </w:rPr>
        <w:t xml:space="preserve">Provide a range of complexity levels for the texts. This range does not always mean that the difficulty of the reading level is high. The Arrival by Shaun Tan is a complex text, and it has no words at all. We can provide opportunities to hear, see, and use different types of language by providing rich texts with interesting themes.  </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shd w:fill="f5f7f8" w:val="clear"/>
        <w:spacing w:after="220" w:lineRule="auto"/>
        <w:rPr>
          <w:rFonts w:ascii="Arial" w:cs="Arial" w:eastAsia="Arial" w:hAnsi="Arial"/>
          <w:color w:val="303234"/>
          <w:sz w:val="21"/>
          <w:szCs w:val="21"/>
        </w:rPr>
      </w:pPr>
      <w:r w:rsidDel="00000000" w:rsidR="00000000" w:rsidRPr="00000000">
        <w:fldChar w:fldCharType="end"/>
      </w:r>
      <w:hyperlink r:id="rId20">
        <w:r w:rsidDel="00000000" w:rsidR="00000000" w:rsidRPr="00000000">
          <w:rPr>
            <w:rFonts w:ascii="Arial" w:cs="Arial" w:eastAsia="Arial" w:hAnsi="Arial"/>
            <w:b w:val="1"/>
            <w:color w:val="303234"/>
            <w:sz w:val="21"/>
            <w:szCs w:val="21"/>
            <w:rtl w:val="0"/>
          </w:rPr>
          <w:t xml:space="preserve">Using technology and other supports helps students access and make progress in higher levels of instruction. </w:t>
        </w:r>
      </w:hyperlink>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Many teachers use social media and applications as tools for supporting literacy.  Texting may be used to support students to improve spelling skills, take turns in conversations, stay on topic, and understand social rules. Media with a character limit (such as Twitter) may be a non-threatening way to write and respond to texts without the pressure of having to write a lot. Free, accessible, and mobile text-to-speech programs mean that a lack of phonemic awareness is no longer the barrier to literacy it once may have been.  The days of high school students working endlessly on “A says ahhhh” should be over!  </w:t>
      </w:r>
    </w:p>
    <w:p w:rsidR="00000000" w:rsidDel="00000000" w:rsidP="00000000" w:rsidRDefault="00000000" w:rsidRPr="00000000" w14:paraId="00000083">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oov1s1ys1io9" w:id="3"/>
      <w:bookmarkEnd w:id="3"/>
      <w:r w:rsidDel="00000000" w:rsidR="00000000" w:rsidRPr="00000000">
        <w:fldChar w:fldCharType="end"/>
      </w:r>
      <w:r w:rsidDel="00000000" w:rsidR="00000000" w:rsidRPr="00000000">
        <w:rPr>
          <w:rtl w:val="0"/>
        </w:rPr>
      </w:r>
    </w:p>
    <w:p w:rsidR="00000000" w:rsidDel="00000000" w:rsidP="00000000" w:rsidRDefault="00000000" w:rsidRPr="00000000" w14:paraId="00000084">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qtz3afw4purb" w:id="4"/>
      <w:bookmarkEnd w:id="4"/>
      <w:r w:rsidDel="00000000" w:rsidR="00000000" w:rsidRPr="00000000">
        <w:rPr>
          <w:rtl w:val="0"/>
        </w:rPr>
      </w:r>
    </w:p>
    <w:p w:rsidR="00000000" w:rsidDel="00000000" w:rsidP="00000000" w:rsidRDefault="00000000" w:rsidRPr="00000000" w14:paraId="0000008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ygu6ibvy6dmx" w:id="5"/>
      <w:bookmarkEnd w:id="5"/>
      <w:hyperlink r:id="rId21">
        <w:r w:rsidDel="00000000" w:rsidR="00000000" w:rsidRPr="00000000">
          <w:rPr>
            <w:rFonts w:ascii="Arial" w:cs="Arial" w:eastAsia="Arial" w:hAnsi="Arial"/>
            <w:b w:val="0"/>
            <w:color w:val="303234"/>
            <w:sz w:val="29"/>
            <w:szCs w:val="29"/>
            <w:rtl w:val="0"/>
          </w:rPr>
          <w:t xml:space="preserve">Providing Opportunities to Learn Literacy</w:t>
        </w:r>
      </w:hyperlink>
      <w:r w:rsidDel="00000000" w:rsidR="00000000" w:rsidRPr="00000000">
        <w:rPr>
          <w:rtl w:val="0"/>
        </w:rPr>
      </w:r>
    </w:p>
    <w:p w:rsidR="00000000" w:rsidDel="00000000" w:rsidP="00000000" w:rsidRDefault="00000000" w:rsidRPr="00000000" w14:paraId="0000008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rFonts w:ascii="Arial" w:cs="Arial" w:eastAsia="Arial" w:hAnsi="Arial"/>
          <w:color w:val="303234"/>
          <w:sz w:val="21"/>
          <w:szCs w:val="21"/>
        </w:rPr>
      </w:pPr>
      <w:bookmarkStart w:colFirst="0" w:colLast="0" w:name="_fupcj4ers4p7" w:id="6"/>
      <w:bookmarkEnd w:id="6"/>
      <w:r w:rsidDel="00000000" w:rsidR="00000000" w:rsidRPr="00000000">
        <w:rPr>
          <w:rFonts w:ascii="Arial" w:cs="Arial" w:eastAsia="Arial" w:hAnsi="Arial"/>
          <w:color w:val="303234"/>
          <w:sz w:val="21"/>
          <w:szCs w:val="21"/>
          <w:rtl w:val="0"/>
        </w:rPr>
        <w:t xml:space="preserve">G</w:t>
      </w:r>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iven the importance of literacy, the question of how to teach grade-level standards to students with moderate to severe disabilities remains. Here are some principles to keep in mind:</w:t>
      </w:r>
    </w:p>
    <w:p w:rsidR="00000000" w:rsidDel="00000000" w:rsidP="00000000" w:rsidRDefault="00000000" w:rsidRPr="00000000" w14:paraId="00000087">
      <w:pPr>
        <w:pageBreakBefore w:val="0"/>
        <w:numPr>
          <w:ilvl w:val="0"/>
          <w:numId w:val="6"/>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303234"/>
          <w:sz w:val="21"/>
          <w:szCs w:val="21"/>
          <w:rtl w:val="0"/>
        </w:rPr>
        <w:t xml:space="preserve">Understand the standards. General and special educators need to work together to develop universally designed, grade-level aligned instruction that is accessible and represents high expectations appropriate to literacy instruction in the age of information.</w:t>
      </w:r>
    </w:p>
    <w:p w:rsidR="00000000" w:rsidDel="00000000" w:rsidP="00000000" w:rsidRDefault="00000000" w:rsidRPr="00000000" w14:paraId="00000088">
      <w:pPr>
        <w:pageBreakBefore w:val="0"/>
        <w:numPr>
          <w:ilvl w:val="0"/>
          <w:numId w:val="6"/>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303234"/>
          <w:sz w:val="21"/>
          <w:szCs w:val="21"/>
          <w:rtl w:val="0"/>
        </w:rPr>
        <w:t xml:space="preserve">Use evidence-based practices to maintain complexity and build comprehension.  Using read-alouds, peer supports, and effective questioning that take into account the student’s mode of communication should be routine elements of high quality literacy instruction.</w:t>
      </w:r>
    </w:p>
    <w:p w:rsidR="00000000" w:rsidDel="00000000" w:rsidP="00000000" w:rsidRDefault="00000000" w:rsidRPr="00000000" w14:paraId="00000089">
      <w:pPr>
        <w:pageBreakBefore w:val="0"/>
        <w:numPr>
          <w:ilvl w:val="0"/>
          <w:numId w:val="6"/>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303234"/>
          <w:sz w:val="21"/>
          <w:szCs w:val="21"/>
          <w:rtl w:val="0"/>
        </w:rPr>
        <w:t xml:space="preserve">Build on the principles of UDL for all aspects of literacy. Accessibility begins with creating lessons from a UDL perspective. Presume that barriers to learning result from the instruction or materials—not the student. A UDL approach to literacy makes it hard to believe there is any student we can’t support. Students who do not yet have phonemic awareness, have limited motor skills, or who are still building a communication system can still be readers and writers.</w:t>
      </w:r>
    </w:p>
    <w:p w:rsidR="00000000" w:rsidDel="00000000" w:rsidP="00000000" w:rsidRDefault="00000000" w:rsidRPr="00000000" w14:paraId="0000008A">
      <w:pPr>
        <w:pageBreakBefore w:val="0"/>
        <w:numPr>
          <w:ilvl w:val="0"/>
          <w:numId w:val="6"/>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303234"/>
          <w:sz w:val="21"/>
          <w:szCs w:val="21"/>
          <w:rtl w:val="0"/>
        </w:rPr>
        <w:t xml:space="preserve">Provide opportunities to learn across the day and across content areas. Literacy has different purposes and strategies for different content areas, and all of them are valuable skills and concepts for students to learn.</w:t>
      </w:r>
    </w:p>
    <w:p w:rsidR="00000000" w:rsidDel="00000000" w:rsidP="00000000" w:rsidRDefault="00000000" w:rsidRPr="00000000" w14:paraId="0000008B">
      <w:pPr>
        <w:pageBreakBefore w:val="0"/>
        <w:numPr>
          <w:ilvl w:val="0"/>
          <w:numId w:val="6"/>
        </w:numPr>
        <w:pBdr>
          <w:top w:color="auto" w:space="0" w:sz="0" w:val="none"/>
          <w:bottom w:color="auto" w:space="0" w:sz="0" w:val="none"/>
          <w:right w:color="auto" w:space="0" w:sz="0" w:val="none"/>
          <w:between w:color="auto" w:space="0" w:sz="0" w:val="none"/>
        </w:pBdr>
        <w:spacing w:after="220" w:lineRule="auto"/>
        <w:ind w:left="1060" w:hanging="360"/>
      </w:pPr>
      <w:r w:rsidDel="00000000" w:rsidR="00000000" w:rsidRPr="00000000">
        <w:rPr>
          <w:rFonts w:ascii="Arial" w:cs="Arial" w:eastAsia="Arial" w:hAnsi="Arial"/>
          <w:color w:val="303234"/>
          <w:sz w:val="21"/>
          <w:szCs w:val="21"/>
          <w:rtl w:val="0"/>
        </w:rPr>
        <w:t xml:space="preserve">Understand what it means for all students to build college and career readiness skills. College and career readiness skills have been identified as key cognitive strategies, academic knowledge and skills, academic behaviors, contextual skills and awareness, and self-determination. (Conley, 2007, Kearns et al., 2011). These are all functional skills.</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shd w:fill="f5f7f8" w:val="clear"/>
        <w:spacing w:after="220" w:lineRule="auto"/>
        <w:rPr>
          <w:rFonts w:ascii="Arial" w:cs="Arial" w:eastAsia="Arial" w:hAnsi="Arial"/>
          <w:color w:val="303234"/>
          <w:sz w:val="21"/>
          <w:szCs w:val="21"/>
        </w:rPr>
      </w:pPr>
      <w:r w:rsidDel="00000000" w:rsidR="00000000" w:rsidRPr="00000000">
        <w:rPr>
          <w:rFonts w:ascii="Arial" w:cs="Arial" w:eastAsia="Arial" w:hAnsi="Arial"/>
          <w:color w:val="303234"/>
          <w:sz w:val="21"/>
          <w:szCs w:val="21"/>
          <w:rtl w:val="0"/>
        </w:rPr>
        <w:t xml:space="preserve">And remember,</w:t>
      </w:r>
      <w:r w:rsidDel="00000000" w:rsidR="00000000" w:rsidRPr="00000000">
        <w:fldChar w:fldCharType="end"/>
      </w:r>
      <w:hyperlink r:id="rId22">
        <w:r w:rsidDel="00000000" w:rsidR="00000000" w:rsidRPr="00000000">
          <w:rPr>
            <w:rFonts w:ascii="Arial" w:cs="Arial" w:eastAsia="Arial" w:hAnsi="Arial"/>
            <w:b w:val="1"/>
            <w:i w:val="1"/>
            <w:color w:val="303234"/>
            <w:sz w:val="21"/>
            <w:szCs w:val="21"/>
            <w:rtl w:val="0"/>
          </w:rPr>
          <w:t xml:space="preserve"> literacy happens everywhere</w:t>
        </w:r>
      </w:hyperlink>
      <w:hyperlink r:id="rId23">
        <w:r w:rsidDel="00000000" w:rsidR="00000000" w:rsidRPr="00000000">
          <w:rPr>
            <w:rFonts w:ascii="Arial" w:cs="Arial" w:eastAsia="Arial" w:hAnsi="Arial"/>
            <w:b w:val="1"/>
            <w:color w:val="303234"/>
            <w:sz w:val="21"/>
            <w:szCs w:val="21"/>
            <w:rtl w:val="0"/>
          </w:rPr>
          <w:t xml:space="preserve">.</w:t>
        </w:r>
      </w:hyperlink>
      <w:r w:rsidDel="00000000" w:rsidR="00000000" w:rsidRPr="00000000">
        <w:fldChar w:fldCharType="begin"/>
        <w:instrText xml:space="preserve"> HYPERLINK "http://udltheorypractice.cast.org/home?4" </w:instrText>
        <w:fldChar w:fldCharType="separate"/>
      </w:r>
      <w:r w:rsidDel="00000000" w:rsidR="00000000" w:rsidRPr="00000000">
        <w:rPr>
          <w:rFonts w:ascii="Arial" w:cs="Arial" w:eastAsia="Arial" w:hAnsi="Arial"/>
          <w:color w:val="303234"/>
          <w:sz w:val="21"/>
          <w:szCs w:val="21"/>
          <w:rtl w:val="0"/>
        </w:rPr>
        <w:t xml:space="preserve"> Literacy does not happen in separate blocks of time in the real world. However, because reading in math or science is different than reading literature literacy instruction must also occur across the day. For students with moderate to severe disabilities to have opportunities to learn we need to adopt a 21st-century definition of literacy and commit to using strategies like UDL as well as individualized supports.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Arial" w:cs="Arial" w:eastAsia="Arial" w:hAnsi="Arial"/>
          <w:color w:val="303234"/>
          <w:sz w:val="21"/>
          <w:szCs w:val="21"/>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left"/>
        <w:rPr>
          <w:b w:val="1"/>
          <w:sz w:val="32"/>
          <w:szCs w:val="32"/>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left"/>
        <w:rPr>
          <w:b w:val="1"/>
          <w:sz w:val="32"/>
          <w:szCs w:val="32"/>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ELA Appendix C: Gifted and Talented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24">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5">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6">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7">
        <w:r w:rsidDel="00000000" w:rsidR="00000000" w:rsidRPr="00000000">
          <w:rPr>
            <w:rFonts w:ascii="Calibri" w:cs="Calibri" w:eastAsia="Calibri" w:hAnsi="Calibri"/>
            <w:color w:val="0000ff"/>
            <w:u w:val="single"/>
            <w:rtl w:val="0"/>
          </w:rPr>
          <w:t xml:space="preserve">http://www.njagc.org/</w:t>
        </w:r>
      </w:hyperlink>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7"/>
      <w:bookmarkEnd w:id="7"/>
      <w:r w:rsidDel="00000000" w:rsidR="00000000" w:rsidRPr="00000000">
        <w:rPr>
          <w:rtl w:val="0"/>
        </w:rPr>
        <w:t xml:space="preserve">Additional </w:t>
      </w:r>
      <w:r w:rsidDel="00000000" w:rsidR="00000000" w:rsidRPr="00000000">
        <w:rPr>
          <w:rtl w:val="0"/>
        </w:rPr>
        <w:t xml:space="preserve">Specific Info for GT Students in the ELA Context</w:t>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Fonts w:ascii="Calibri" w:cs="Calibri" w:eastAsia="Calibri" w:hAnsi="Calibri"/>
          <w:rtl w:val="0"/>
        </w:rPr>
        <w:t xml:space="preserve">For GT students it is important to provide as many opportunities as possible for application of students’ work into real-world contexts.  Students should be given opportunities to publish work in print, and/or safe and monitored online spaces.  Students should be provided with opportunities for public rendering of work and/or critique or commentary of ideas in a respectful and meaningful way</w:t>
      </w: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The Davidson Gifted Database</w:t>
        </w:r>
      </w:hyperlink>
      <w:r w:rsidDel="00000000" w:rsidR="00000000" w:rsidRPr="00000000">
        <w:rPr>
          <w:rFonts w:ascii="Calibri" w:cs="Calibri" w:eastAsia="Calibri" w:hAnsi="Calibri"/>
          <w:rtl w:val="0"/>
        </w:rPr>
        <w:t xml:space="preserve"> provides many links to competitions and other forums where students have the opportunity to publish their work in a public space; in addition the database provides ample resources for teaching GT students in the context of ELA across various grade levels.  </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03234"/>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decimal"/>
      <w:lvlText w:val="%1."/>
      <w:lvlJc w:val="left"/>
      <w:pPr>
        <w:ind w:left="720" w:hanging="360"/>
      </w:pPr>
      <w:rPr>
        <w:rFonts w:ascii="Arial" w:cs="Arial" w:eastAsia="Arial" w:hAnsi="Arial"/>
        <w:color w:val="303234"/>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udltheorypractice.cast.org/home?4" TargetMode="External"/><Relationship Id="rId22" Type="http://schemas.openxmlformats.org/officeDocument/2006/relationships/hyperlink" Target="http://udltheorypractice.cast.org/home?4" TargetMode="External"/><Relationship Id="rId21" Type="http://schemas.openxmlformats.org/officeDocument/2006/relationships/hyperlink" Target="http://udltheorypractice.cast.org/home?4" TargetMode="External"/><Relationship Id="rId24" Type="http://schemas.openxmlformats.org/officeDocument/2006/relationships/hyperlink" Target="http://www.nagc.org/resources-publications/gifted-education-practices/what-it-means-teach-gifted-learners-well" TargetMode="External"/><Relationship Id="rId23" Type="http://schemas.openxmlformats.org/officeDocument/2006/relationships/hyperlink" Target="http://udltheorypractice.cast.org/hom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26" Type="http://schemas.openxmlformats.org/officeDocument/2006/relationships/hyperlink" Target="https://www.nagc.org/" TargetMode="External"/><Relationship Id="rId25" Type="http://schemas.openxmlformats.org/officeDocument/2006/relationships/hyperlink" Target="http://www.nsgt.org/" TargetMode="External"/><Relationship Id="rId28" Type="http://schemas.openxmlformats.org/officeDocument/2006/relationships/hyperlink" Target="https://www.davidsongifted.org/Search-Database/topic/105126/entryType/2" TargetMode="External"/><Relationship Id="rId27" Type="http://schemas.openxmlformats.org/officeDocument/2006/relationships/hyperlink" Target="http://www.njagc.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 Id="rId11" Type="http://schemas.openxmlformats.org/officeDocument/2006/relationships/hyperlink" Target="https://aae.boisestate.edu/know-your-learning-style/" TargetMode="External"/><Relationship Id="rId10" Type="http://schemas.openxmlformats.org/officeDocument/2006/relationships/image" Target="media/image3.png"/><Relationship Id="rId13" Type="http://schemas.openxmlformats.org/officeDocument/2006/relationships/hyperlink" Target="http://www.udlcenter.org/" TargetMode="External"/><Relationship Id="rId12" Type="http://schemas.openxmlformats.org/officeDocument/2006/relationships/hyperlink" Target="http://www.cast.org/our-work/about-udl.html#.VrJILjYrLzI" TargetMode="External"/><Relationship Id="rId15" Type="http://schemas.openxmlformats.org/officeDocument/2006/relationships/image" Target="media/image1.png"/><Relationship Id="rId14" Type="http://schemas.openxmlformats.org/officeDocument/2006/relationships/hyperlink" Target="http://udltheorypractice.cast.org/home?4" TargetMode="External"/><Relationship Id="rId17" Type="http://schemas.openxmlformats.org/officeDocument/2006/relationships/hyperlink" Target="https://www.cec.sped.org/News/Special-Education-Today/Need-to-Know/Need-to-Know-ELA-Standards-for-SWCIN" TargetMode="External"/><Relationship Id="rId16" Type="http://schemas.openxmlformats.org/officeDocument/2006/relationships/image" Target="media/image2.png"/><Relationship Id="rId19" Type="http://schemas.openxmlformats.org/officeDocument/2006/relationships/hyperlink" Target="http://udltheorypractice.cast.org/home?4" TargetMode="External"/><Relationship Id="rId18" Type="http://schemas.openxmlformats.org/officeDocument/2006/relationships/hyperlink" Target="http://udltheorypractice.cast.org/home?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