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5.3.0 -->
  <w:background w:color="ffffff">
    <v:background id="_x0000_s1025" filled="t"/>
  </w:background>
  <w:body>
    <w:p w:rsidR="00000000" w:rsidRPr="00000000" w:rsidP="00000000" w14:paraId="00000001">
      <w:pPr>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rFonts w:ascii="Arial" w:eastAsia="Arial" w:hAnsi="Arial" w:cs="Arial"/>
          <w:b w:val="0"/>
          <w:bCs w:val="0"/>
          <w:i w:val="0"/>
          <w:iCs w:val="0"/>
          <w:smallCaps w:val="0"/>
          <w:strike w:val="0"/>
          <w:color w:val="000000"/>
          <w:sz w:val="22"/>
          <w:szCs w:val="22"/>
          <w:u w:val="none"/>
          <w:shd w:val="clear" w:color="auto" w:fill="auto"/>
          <w:vertAlign w:val="baseline"/>
        </w:rPr>
      </w:pPr>
    </w:p>
    <w:tbl>
      <w:tblPr>
        <w:tblStyle w:val="Table1"/>
        <w:tblW w:w="13200" w:type="dxa"/>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40"/>
        <w:gridCol w:w="855"/>
        <w:gridCol w:w="1785"/>
        <w:gridCol w:w="2535"/>
        <w:gridCol w:w="105"/>
        <w:gridCol w:w="2640"/>
        <w:gridCol w:w="2640"/>
      </w:tblGrid>
      <w:tr>
        <w:tblPrEx>
          <w:tblW w:w="13200" w:type="dxa"/>
          <w:tblInd w:w="-230" w:type="dxa"/>
          <w:tblLayout w:type="fixed"/>
          <w:tblLook w:val="0400"/>
        </w:tblPrEx>
        <w:trPr>
          <w:cantSplit w:val="0"/>
          <w:trHeight w:val="240"/>
          <w:tblHeader w:val="0"/>
        </w:trPr>
        <w:tc>
          <w:tcPr>
            <w:gridSpan w:val="7"/>
            <w:shd w:val="clear" w:color="auto" w:fill="1F497D"/>
          </w:tcPr>
          <w:p w:rsidR="00000000" w:rsidRPr="00000000" w:rsidP="00000000" w14:paraId="00000002">
            <w:pPr>
              <w:pageBreakBefore w:val="0"/>
              <w:pBdr>
                <w:top w:val="nil"/>
                <w:left w:val="nil"/>
                <w:bottom w:val="nil"/>
                <w:right w:val="nil"/>
                <w:between w:val="nil"/>
              </w:pBdr>
              <w:shd w:val="clear" w:color="auto" w:fill="auto"/>
              <w:spacing w:before="0" w:after="200" w:line="276" w:lineRule="auto"/>
              <w:jc w:val="center"/>
              <w:rPr>
                <w:rFonts w:ascii="Calibri" w:eastAsia="Calibri" w:hAnsi="Calibri" w:cs="Calibri"/>
                <w:b w:val="0"/>
                <w:bCs w:val="0"/>
                <w:color w:val="FFFFFF"/>
                <w:sz w:val="24"/>
                <w:szCs w:val="24"/>
              </w:rPr>
            </w:pPr>
            <w:r w:rsidRPr="00000000">
              <w:rPr>
                <w:rFonts w:ascii="Calibri" w:eastAsia="Calibri" w:hAnsi="Calibri" w:cs="Calibri"/>
                <w:b/>
                <w:bCs/>
                <w:i/>
                <w:iCs/>
                <w:color w:val="FFFFFF"/>
                <w:sz w:val="24"/>
                <w:szCs w:val="24"/>
                <w:rtl w:val="0"/>
              </w:rPr>
              <w:t xml:space="preserve">Health Grades K-2 Unit 3: Family Life </w:t>
            </w:r>
          </w:p>
          <w:p w:rsidR="00000000" w:rsidRPr="00000000" w:rsidP="00000000" w14:paraId="00000003">
            <w:pPr>
              <w:pageBreakBefore w:val="0"/>
              <w:pBdr>
                <w:top w:val="nil"/>
                <w:left w:val="nil"/>
                <w:bottom w:val="nil"/>
                <w:right w:val="nil"/>
                <w:between w:val="nil"/>
              </w:pBdr>
              <w:shd w:val="clear" w:color="auto" w:fill="auto"/>
              <w:spacing w:before="0" w:after="200" w:line="276" w:lineRule="auto"/>
              <w:jc w:val="center"/>
              <w:rPr>
                <w:rFonts w:ascii="Calibri" w:eastAsia="Calibri" w:hAnsi="Calibri" w:cs="Calibri"/>
                <w:b w:val="0"/>
                <w:bCs w:val="0"/>
                <w:color w:val="FFFFFF"/>
                <w:sz w:val="22"/>
                <w:szCs w:val="22"/>
              </w:rPr>
            </w:pPr>
            <w:r w:rsidRPr="00000000">
              <w:rPr>
                <w:rFonts w:ascii="Calibri" w:eastAsia="Calibri" w:hAnsi="Calibri" w:cs="Calibri"/>
                <w:b/>
                <w:bCs/>
                <w:i/>
                <w:iCs/>
                <w:color w:val="FFFFFF"/>
                <w:sz w:val="22"/>
                <w:szCs w:val="22"/>
                <w:rtl w:val="0"/>
              </w:rPr>
              <w:t>March-April</w:t>
            </w:r>
            <w:r w:rsidRPr="00000000">
              <w:rPr>
                <w:rFonts w:ascii="Calibri" w:eastAsia="Calibri" w:hAnsi="Calibri" w:cs="Calibri"/>
                <w:b/>
                <w:bCs/>
                <w:i/>
                <w:iCs/>
                <w:color w:val="000000"/>
                <w:sz w:val="22"/>
                <w:szCs w:val="22"/>
                <w:rtl w:val="0"/>
              </w:rPr>
              <w:t xml:space="preserve"> </w:t>
            </w:r>
            <w:r w:rsidRPr="00000000">
              <w:rPr>
                <w:rFonts w:ascii="Calibri" w:eastAsia="Calibri" w:hAnsi="Calibri" w:cs="Calibri"/>
                <w:b/>
                <w:bCs/>
                <w:i/>
                <w:iCs/>
                <w:color w:val="FFFFFF"/>
                <w:sz w:val="22"/>
                <w:szCs w:val="22"/>
                <w:rtl w:val="0"/>
              </w:rPr>
              <w:t>(approximately 45 days)</w:t>
            </w:r>
          </w:p>
        </w:tc>
      </w:tr>
      <w:tr>
        <w:tblPrEx>
          <w:tblW w:w="13200" w:type="dxa"/>
          <w:tblInd w:w="-230" w:type="dxa"/>
          <w:tblLayout w:type="fixed"/>
          <w:tblLook w:val="0400"/>
        </w:tblPrEx>
        <w:trPr>
          <w:cantSplit w:val="0"/>
          <w:trHeight w:val="1120"/>
          <w:tblHeader w:val="0"/>
        </w:trPr>
        <w:tc>
          <w:tcPr>
            <w:gridSpan w:val="7"/>
          </w:tcPr>
          <w:p w:rsidR="00000000" w:rsidRPr="00000000" w:rsidP="00000000" w14:paraId="0000000A">
            <w:pPr>
              <w:pageBreakBefore w:val="0"/>
              <w:pBdr>
                <w:top w:val="nil"/>
                <w:left w:val="nil"/>
                <w:bottom w:val="nil"/>
                <w:right w:val="nil"/>
                <w:between w:val="nil"/>
              </w:pBdr>
              <w:shd w:val="clear" w:color="auto" w:fill="auto"/>
              <w:spacing w:before="0" w:after="200" w:line="276" w:lineRule="auto"/>
              <w:rPr>
                <w:rFonts w:ascii="Calibri" w:eastAsia="Calibri" w:hAnsi="Calibri" w:cs="Calibri"/>
                <w:b w:val="0"/>
                <w:bCs w:val="0"/>
                <w:color w:val="000000"/>
                <w:sz w:val="22"/>
                <w:szCs w:val="22"/>
              </w:rPr>
            </w:pPr>
            <w:r w:rsidRPr="00000000">
              <w:rPr>
                <w:rFonts w:ascii="Calibri" w:eastAsia="Calibri" w:hAnsi="Calibri" w:cs="Calibri"/>
                <w:b/>
                <w:bCs/>
                <w:color w:val="000000"/>
                <w:sz w:val="22"/>
                <w:szCs w:val="22"/>
                <w:u w:val="single"/>
                <w:rtl w:val="0"/>
              </w:rPr>
              <w:t>Targeted Standards</w:t>
            </w:r>
            <w:r w:rsidRPr="00000000">
              <w:rPr>
                <w:rFonts w:ascii="Calibri" w:eastAsia="Calibri" w:hAnsi="Calibri" w:cs="Calibri"/>
                <w:b w:val="0"/>
                <w:bCs w:val="0"/>
                <w:color w:val="000000"/>
                <w:sz w:val="22"/>
                <w:szCs w:val="22"/>
                <w:rtl w:val="0"/>
              </w:rPr>
              <w:t xml:space="preserve"> </w:t>
            </w:r>
          </w:p>
          <w:p w:rsidR="00000000" w:rsidRPr="00000000" w:rsidP="00000000" w14:paraId="0000000B">
            <w:pPr>
              <w:spacing w:after="200" w:line="276" w:lineRule="auto"/>
            </w:pPr>
            <w:r w:rsidRPr="00000000">
              <w:rPr>
                <w:rtl w:val="0"/>
              </w:rPr>
              <w:t xml:space="preserve">2.1.2.PGD.1: Explore how activity helps all human bodies stay healthy. </w:t>
            </w:r>
          </w:p>
          <w:p w:rsidR="00000000" w:rsidRPr="00000000" w:rsidP="00000000" w14:paraId="0000000C">
            <w:pPr>
              <w:spacing w:after="200" w:line="276" w:lineRule="auto"/>
            </w:pPr>
            <w:r w:rsidRPr="00000000">
              <w:rPr>
                <w:rtl w:val="0"/>
              </w:rPr>
              <w:t xml:space="preserve">2.1.2.PGD. 2: Develop an awareness of healthy habits (e.g., wash hands, cough in arm, brush teeth). </w:t>
            </w:r>
          </w:p>
          <w:p w:rsidR="00000000" w:rsidRPr="00000000" w:rsidP="00000000" w14:paraId="0000000D">
            <w:pPr>
              <w:spacing w:after="200" w:line="276" w:lineRule="auto"/>
            </w:pPr>
            <w:r w:rsidRPr="00000000">
              <w:rPr>
                <w:rtl w:val="0"/>
              </w:rPr>
              <w:t xml:space="preserve">2.1.2.PGD.3: Explain what being “well” means and identify self-care practices that support wellness. </w:t>
            </w:r>
          </w:p>
          <w:p w:rsidR="00000000" w:rsidRPr="00000000" w:rsidP="00000000" w14:paraId="0000000E">
            <w:pPr>
              <w:spacing w:after="200" w:line="276" w:lineRule="auto"/>
            </w:pPr>
            <w:r w:rsidRPr="00000000">
              <w:rPr>
                <w:rtl w:val="0"/>
              </w:rPr>
              <w:t xml:space="preserve">2.1.2.PGD.4: Use correct terminology to identify body parts and explain how body parts work together to support wellness. </w:t>
            </w:r>
          </w:p>
          <w:p w:rsidR="00000000" w:rsidRPr="00000000" w:rsidP="00000000" w14:paraId="0000000F">
            <w:pPr>
              <w:spacing w:after="200" w:line="276" w:lineRule="auto"/>
            </w:pPr>
            <w:r w:rsidRPr="00000000">
              <w:rPr>
                <w:rtl w:val="0"/>
              </w:rPr>
              <w:t>2.1.2.PGD.5: List medically accurate names for body parts, including the genitals.</w:t>
            </w:r>
          </w:p>
          <w:p w:rsidR="00000000" w:rsidRPr="00000000" w:rsidP="00000000" w14:paraId="00000010">
            <w:pPr>
              <w:spacing w:after="200" w:line="276" w:lineRule="auto"/>
            </w:pPr>
            <w:r w:rsidRPr="00000000">
              <w:rPr>
                <w:rtl w:val="0"/>
              </w:rPr>
              <w:t xml:space="preserve">2.1.2.PP.1: Define reproduction. </w:t>
            </w:r>
          </w:p>
          <w:p w:rsidR="00000000" w:rsidRPr="00000000" w:rsidP="00000000" w14:paraId="00000011">
            <w:pPr>
              <w:spacing w:after="200" w:line="276" w:lineRule="auto"/>
            </w:pPr>
            <w:r w:rsidRPr="00000000">
              <w:rPr>
                <w:rtl w:val="0"/>
              </w:rPr>
              <w:t>2.1.2.PP.2: Explain the ways in which parents may care for their offspring (e.g., animals, people, fish).</w:t>
            </w:r>
          </w:p>
          <w:p w:rsidR="00000000" w:rsidRPr="00000000" w:rsidP="00000000" w14:paraId="00000012">
            <w:pPr>
              <w:spacing w:after="200" w:line="276" w:lineRule="auto"/>
            </w:pPr>
            <w:r w:rsidRPr="00000000">
              <w:rPr>
                <w:rtl w:val="0"/>
              </w:rPr>
              <w:t xml:space="preserve">2.1.2.EH.1: Explain the meaning of character and how it is reflected in the thoughts, feelings and actions of oneself and others. </w:t>
            </w:r>
          </w:p>
          <w:p w:rsidR="00000000" w:rsidRPr="00000000" w:rsidP="00000000" w14:paraId="00000013">
            <w:pPr>
              <w:spacing w:after="200" w:line="276" w:lineRule="auto"/>
            </w:pPr>
            <w:r w:rsidRPr="00000000">
              <w:rPr>
                <w:rtl w:val="0"/>
              </w:rPr>
              <w:t xml:space="preserve">2.1.2.EH.2: Identify what it means to be responsible and list personal responsibilities. </w:t>
            </w:r>
          </w:p>
          <w:p w:rsidR="00000000" w:rsidRPr="00000000" w:rsidP="00000000" w14:paraId="00000014">
            <w:pPr>
              <w:spacing w:after="200" w:line="276" w:lineRule="auto"/>
            </w:pPr>
            <w:r w:rsidRPr="00000000">
              <w:rPr>
                <w:rtl w:val="0"/>
              </w:rPr>
              <w:t>2.1.2.EH.3: Demonstrate self-control in a variety of settings (e.g., classrooms, playgrounds, special programs).</w:t>
            </w:r>
          </w:p>
          <w:p w:rsidR="00000000" w:rsidRPr="00000000" w:rsidP="00000000" w14:paraId="00000015">
            <w:pPr>
              <w:spacing w:after="200" w:line="276" w:lineRule="auto"/>
            </w:pPr>
            <w:r w:rsidRPr="00000000">
              <w:rPr>
                <w:rtl w:val="0"/>
              </w:rPr>
              <w:t>2.1.2.EH.4: Demonstrate strategies for managing one's own emotions, thoughts and behaviors.</w:t>
            </w:r>
          </w:p>
          <w:p w:rsidR="00000000" w:rsidRPr="00000000" w:rsidP="00000000" w14:paraId="00000016">
            <w:pPr>
              <w:spacing w:after="200" w:line="276" w:lineRule="auto"/>
            </w:pPr>
            <w:r w:rsidRPr="00000000">
              <w:rPr>
                <w:rtl w:val="0"/>
              </w:rPr>
              <w:t xml:space="preserve">2.1.2.EH.5: Explain healthy ways of coping with stressful situations. </w:t>
            </w:r>
          </w:p>
          <w:p w:rsidR="00000000" w:rsidRPr="00000000" w:rsidP="00000000" w14:paraId="00000017">
            <w:pPr>
              <w:spacing w:after="200" w:line="276" w:lineRule="auto"/>
            </w:pPr>
            <w:r w:rsidRPr="00000000">
              <w:rPr>
                <w:rtl w:val="0"/>
              </w:rPr>
              <w:t xml:space="preserve">2.1.2.SSH.1: Discuss how individuals make their own choices about how to express themselves. </w:t>
            </w:r>
          </w:p>
          <w:p w:rsidR="00000000" w:rsidRPr="00000000" w:rsidP="00000000" w14:paraId="00000018">
            <w:pPr>
              <w:spacing w:after="200" w:line="276" w:lineRule="auto"/>
            </w:pPr>
            <w:r w:rsidRPr="00000000">
              <w:rPr>
                <w:rtl w:val="0"/>
              </w:rPr>
              <w:t xml:space="preserve">2.1.2.SSH.2: Discuss the range of ways people express their gender and how gender-role stereotypes may limit behavior. </w:t>
            </w:r>
          </w:p>
          <w:p w:rsidR="00000000" w:rsidRPr="00000000" w:rsidP="00000000" w14:paraId="00000019">
            <w:pPr>
              <w:spacing w:after="200" w:line="276" w:lineRule="auto"/>
            </w:pPr>
            <w:r w:rsidRPr="00000000">
              <w:rPr>
                <w:rtl w:val="0"/>
              </w:rPr>
              <w:t xml:space="preserve">2.1.2.SSH.3: Describe different kinds of families locally, nationally and globally and note similarities in the ways in which they keep their children safe. </w:t>
            </w:r>
          </w:p>
          <w:p w:rsidR="00000000" w:rsidRPr="00000000" w:rsidP="00000000" w14:paraId="0000001A">
            <w:pPr>
              <w:spacing w:after="200" w:line="276" w:lineRule="auto"/>
            </w:pPr>
            <w:r w:rsidRPr="00000000">
              <w:rPr>
                <w:rtl w:val="0"/>
              </w:rPr>
              <w:t xml:space="preserve">2.1.2.SSH.4: Determine the factors that contribute to healthy relationships within a family. </w:t>
            </w:r>
          </w:p>
          <w:p w:rsidR="00000000" w:rsidRPr="00000000" w:rsidP="00000000" w14:paraId="0000001B">
            <w:pPr>
              <w:spacing w:after="200" w:line="276" w:lineRule="auto"/>
            </w:pPr>
            <w:r w:rsidRPr="00000000">
              <w:rPr>
                <w:rtl w:val="0"/>
              </w:rPr>
              <w:t xml:space="preserve">2.1.2.SSH.5: Identify basic social needs of all people. </w:t>
            </w:r>
          </w:p>
          <w:p w:rsidR="00000000" w:rsidRPr="00000000" w:rsidP="00000000" w14:paraId="0000001C">
            <w:pPr>
              <w:spacing w:after="200" w:line="276" w:lineRule="auto"/>
            </w:pPr>
            <w:r w:rsidRPr="00000000">
              <w:rPr>
                <w:rtl w:val="0"/>
              </w:rPr>
              <w:t xml:space="preserve">2.1.2.SSH.6: Determine the factors that contribute to healthy relationships. </w:t>
            </w:r>
          </w:p>
          <w:p w:rsidR="00000000" w:rsidRPr="00000000" w:rsidP="00000000" w14:paraId="0000001D">
            <w:pPr>
              <w:spacing w:after="200" w:line="276" w:lineRule="auto"/>
            </w:pPr>
            <w:r w:rsidRPr="00000000">
              <w:rPr>
                <w:rtl w:val="0"/>
              </w:rPr>
              <w:t>2.1.2.SSH.7: Explain healthy ways for friends to express feelings for and to one another.</w:t>
            </w:r>
          </w:p>
          <w:p w:rsidR="00000000" w:rsidRPr="00000000" w:rsidP="00000000" w14:paraId="0000001E">
            <w:pPr>
              <w:spacing w:after="200" w:line="276" w:lineRule="auto"/>
            </w:pPr>
            <w:r w:rsidRPr="00000000">
              <w:rPr>
                <w:rtl w:val="0"/>
              </w:rPr>
              <w:t xml:space="preserve">2.1.2.SSH.8: Demonstrate healthy ways to respond to disagreements or conflicts with others (e.g., leave, talk to trusted adults, tell a sibling or peer). </w:t>
            </w:r>
          </w:p>
          <w:p w:rsidR="00000000" w:rsidRPr="00000000" w:rsidP="00000000" w14:paraId="0000001F">
            <w:pPr>
              <w:spacing w:after="200" w:line="276" w:lineRule="auto"/>
            </w:pPr>
            <w:r w:rsidRPr="00000000">
              <w:rPr>
                <w:rtl w:val="0"/>
              </w:rPr>
              <w:t xml:space="preserve">2.1.2.SSH.9: Define bullying and teasing and explain why they are wrong and harmful. </w:t>
            </w:r>
          </w:p>
          <w:p w:rsidR="00000000" w:rsidRPr="00000000" w:rsidP="00000000" w14:paraId="00000020">
            <w:pPr>
              <w:spacing w:after="200" w:line="276" w:lineRule="auto"/>
            </w:pPr>
            <w:r w:rsidRPr="00000000">
              <w:rPr>
                <w:rtl w:val="0"/>
              </w:rPr>
              <w:t xml:space="preserve">2.1.2.CHSS.1: Identify community professionals and school personnel who address health emergencies and provide reliable health information to us. </w:t>
            </w:r>
          </w:p>
          <w:p w:rsidR="00000000" w:rsidRPr="00000000" w:rsidP="00000000" w14:paraId="00000021">
            <w:pPr>
              <w:spacing w:after="200" w:line="276" w:lineRule="auto"/>
            </w:pPr>
            <w:r w:rsidRPr="00000000">
              <w:rPr>
                <w:rtl w:val="0"/>
              </w:rPr>
              <w:t xml:space="preserve">2.1.2.CHSS.2: Determine where to access home, school and community health professionals. </w:t>
            </w:r>
          </w:p>
          <w:p w:rsidR="00000000" w:rsidRPr="00000000" w:rsidP="00000000" w14:paraId="00000022">
            <w:pPr>
              <w:spacing w:after="200" w:line="276" w:lineRule="auto"/>
            </w:pPr>
            <w:r w:rsidRPr="00000000">
              <w:rPr>
                <w:rtl w:val="0"/>
              </w:rPr>
              <w:t xml:space="preserve">2.1.2.CHSS.3: Demonstrate how to dial and text 911 in case of an emergency. </w:t>
            </w:r>
          </w:p>
          <w:p w:rsidR="00000000" w:rsidRPr="00000000" w:rsidP="00000000" w14:paraId="00000023">
            <w:pPr>
              <w:spacing w:after="200" w:line="276" w:lineRule="auto"/>
            </w:pPr>
            <w:r w:rsidRPr="00000000">
              <w:rPr>
                <w:rtl w:val="0"/>
              </w:rPr>
              <w:t>2.1.2.CHSS.4: Describe how climate change affects the health of individuals, plants and animals.</w:t>
            </w:r>
          </w:p>
          <w:p w:rsidR="00000000" w:rsidRPr="00000000" w:rsidP="00000000" w14:paraId="00000024">
            <w:pPr>
              <w:spacing w:after="200" w:line="276" w:lineRule="auto"/>
            </w:pPr>
            <w:r w:rsidRPr="00000000">
              <w:rPr>
                <w:rtl w:val="0"/>
              </w:rPr>
              <w:t xml:space="preserve">2.1.2.CHSS.5: Identify situations that might result in individuals feeling sad, angry, frustrated, or scared. </w:t>
            </w:r>
          </w:p>
          <w:p w:rsidR="00000000" w:rsidRPr="00000000" w:rsidP="00000000" w14:paraId="00000025">
            <w:pPr>
              <w:spacing w:after="200" w:line="276" w:lineRule="auto"/>
            </w:pPr>
            <w:r w:rsidRPr="00000000">
              <w:rPr>
                <w:rtl w:val="0"/>
              </w:rPr>
              <w:t xml:space="preserve">2.1.2.CHSS.6: Identify individuals who can assist with expressing one’s feelings (e.g., family members, teachers, counselors, medical professionals). </w:t>
            </w:r>
          </w:p>
          <w:p w:rsidR="00000000" w:rsidRPr="00000000" w:rsidP="00000000" w14:paraId="00000026">
            <w:pPr>
              <w:spacing w:after="200" w:line="276" w:lineRule="auto"/>
            </w:pPr>
            <w:r w:rsidRPr="00000000">
              <w:rPr>
                <w:rtl w:val="0"/>
              </w:rPr>
              <w:t xml:space="preserve">2.2.2.N.1: Explore different types of foods and food groups. </w:t>
            </w:r>
          </w:p>
          <w:p w:rsidR="00000000" w:rsidRPr="00000000" w:rsidP="00000000" w14:paraId="00000027">
            <w:pPr>
              <w:spacing w:after="200" w:line="276" w:lineRule="auto"/>
            </w:pPr>
            <w:r w:rsidRPr="00000000">
              <w:rPr>
                <w:rtl w:val="0"/>
              </w:rPr>
              <w:t xml:space="preserve">2.2.2.N.2: Explain why some foods are healthier to eat than others. </w:t>
            </w:r>
          </w:p>
          <w:p w:rsidR="00000000" w:rsidRPr="00000000" w:rsidP="00000000" w14:paraId="00000028">
            <w:pPr>
              <w:spacing w:after="200" w:line="276" w:lineRule="auto"/>
            </w:pPr>
            <w:r w:rsidRPr="00000000">
              <w:rPr>
                <w:rtl w:val="0"/>
              </w:rPr>
              <w:t>2.2.2.N.3: Differentiate between healthy and unhealthy eating habits.</w:t>
            </w:r>
          </w:p>
          <w:p w:rsidR="00000000" w:rsidRPr="00000000" w:rsidP="00000000" w14:paraId="00000029">
            <w:pPr>
              <w:spacing w:after="200" w:line="276" w:lineRule="auto"/>
            </w:pPr>
            <w:r w:rsidRPr="00000000">
              <w:rPr>
                <w:rtl w:val="0"/>
              </w:rPr>
              <w:t>2.3.2.PS.1: Demonstrate personal habits and behaviors that contribute to keeping oneself and others healthy and the environment clean and safe.</w:t>
            </w:r>
          </w:p>
          <w:p w:rsidR="00000000" w:rsidRPr="00000000" w:rsidP="00000000" w14:paraId="0000002A">
            <w:pPr>
              <w:spacing w:after="200" w:line="276" w:lineRule="auto"/>
            </w:pPr>
            <w:r w:rsidRPr="00000000">
              <w:rPr>
                <w:rtl w:val="0"/>
              </w:rPr>
              <w:t xml:space="preserve"> 2.3.2.PS.2: Discuss healthy and safe choices both indoors and outdoors (e.g., using equipment, wearing bike helmets, vehicle, water, weather safety). </w:t>
            </w:r>
          </w:p>
          <w:p w:rsidR="00000000" w:rsidRPr="00000000" w:rsidP="00000000" w14:paraId="0000002B">
            <w:pPr>
              <w:spacing w:after="200" w:line="276" w:lineRule="auto"/>
            </w:pPr>
            <w:r w:rsidRPr="00000000">
              <w:rPr>
                <w:rtl w:val="0"/>
              </w:rPr>
              <w:t xml:space="preserve">2.3.2. PS.3: Recognize and demonstrate safety strategies to prevent injuries at home, school, in the community (e.g., traffic safety, bicycle/scooter safety, fire safety, poison safety, accident prevention). </w:t>
            </w:r>
          </w:p>
          <w:p w:rsidR="00000000" w:rsidRPr="00000000" w:rsidP="00000000" w14:paraId="0000002C">
            <w:pPr>
              <w:spacing w:after="200" w:line="276" w:lineRule="auto"/>
            </w:pPr>
            <w:r w:rsidRPr="00000000">
              <w:rPr>
                <w:rtl w:val="0"/>
              </w:rPr>
              <w:t>2.3.2. PS.4: Develop an awareness of warning symbols and their meaning (e.g., red light, stop sign, poison symbol).</w:t>
            </w:r>
          </w:p>
          <w:p w:rsidR="00000000" w:rsidRPr="00000000" w:rsidP="00000000" w14:paraId="0000002D">
            <w:pPr>
              <w:spacing w:after="200" w:line="276" w:lineRule="auto"/>
            </w:pPr>
            <w:r w:rsidRPr="00000000">
              <w:rPr>
                <w:rtl w:val="0"/>
              </w:rPr>
              <w:t xml:space="preserve">2.3.2.PS.5: Define bodily autonomy and personal boundaries. </w:t>
            </w:r>
          </w:p>
          <w:p w:rsidR="00000000" w:rsidRPr="00000000" w:rsidP="00000000" w14:paraId="0000002E">
            <w:pPr>
              <w:spacing w:after="200" w:line="276" w:lineRule="auto"/>
            </w:pPr>
            <w:r w:rsidRPr="00000000">
              <w:rPr>
                <w:rtl w:val="0"/>
              </w:rPr>
              <w:t xml:space="preserve">2.3.2.PS.6: Demonstrate how to communicate personal boundaries and show respect for someone else’s personal boundaries including friends and family. </w:t>
            </w:r>
          </w:p>
          <w:p w:rsidR="00000000" w:rsidRPr="00000000" w:rsidP="00000000" w14:paraId="0000002F">
            <w:pPr>
              <w:spacing w:after="200" w:line="276" w:lineRule="auto"/>
            </w:pPr>
            <w:r w:rsidRPr="00000000">
              <w:rPr>
                <w:rtl w:val="0"/>
              </w:rPr>
              <w:t xml:space="preserve">2.3.2.PS.7: Identify behaviors that would be considered child abuse (e.g., emotional, physical, sexual). </w:t>
            </w:r>
          </w:p>
          <w:p w:rsidR="00000000" w:rsidRPr="00000000" w:rsidP="00000000" w14:paraId="00000030">
            <w:pPr>
              <w:spacing w:after="200" w:line="276" w:lineRule="auto"/>
            </w:pPr>
            <w:r w:rsidRPr="00000000">
              <w:rPr>
                <w:rtl w:val="0"/>
              </w:rPr>
              <w:t>2.3.2.PS.8: Identify trusted adults, including family members, caregivers, and school staff, that you can talk to about situations which may be uncomfortable or dangerous (e.g., bullying, teasing, child sexual abuse).</w:t>
            </w:r>
          </w:p>
          <w:p w:rsidR="00000000" w:rsidRPr="00000000" w:rsidP="00000000" w14:paraId="00000031">
            <w:pPr>
              <w:spacing w:after="200" w:line="276" w:lineRule="auto"/>
            </w:pPr>
            <w:r w:rsidRPr="00000000">
              <w:rPr>
                <w:rtl w:val="0"/>
              </w:rPr>
              <w:t xml:space="preserve">2.3.2.HCDM.1: Explain the consequences on a person’s health if he or she does not have adequate food and a clean environment. </w:t>
            </w:r>
          </w:p>
          <w:p w:rsidR="00000000" w:rsidRPr="00000000" w:rsidP="00000000" w14:paraId="00000032">
            <w:pPr>
              <w:spacing w:after="200" w:line="276" w:lineRule="auto"/>
            </w:pPr>
            <w:r w:rsidRPr="00000000">
              <w:rPr>
                <w:rtl w:val="0"/>
              </w:rPr>
              <w:t xml:space="preserve">2.3.2.HCDM.2: Demonstrate personal hygiene and the use of necessary and appropriate health-enhancing behaviors that can keep a person healthy (e.g., precautions to avoid illnesses, handle food hygienically, brush teeth, regular physical activity, adequate sleep, appropriate dress for various weather conditions). </w:t>
            </w:r>
          </w:p>
          <w:p w:rsidR="00000000" w:rsidRPr="00000000" w:rsidP="00000000" w14:paraId="00000033">
            <w:pPr>
              <w:spacing w:after="200" w:line="276" w:lineRule="auto"/>
            </w:pPr>
            <w:r w:rsidRPr="00000000">
              <w:rPr>
                <w:rtl w:val="0"/>
              </w:rPr>
              <w:t>2.3.2.HCDM.3: Explain strategies and develop skills to prevent the spread of communicable diseases and health conditions (e.g., Lyme disease, influenza, cardiovascular diseases).</w:t>
            </w:r>
          </w:p>
          <w:p w:rsidR="00000000" w:rsidRPr="00000000" w:rsidP="00000000" w14:paraId="00000034">
            <w:pPr>
              <w:spacing w:after="200" w:line="276" w:lineRule="auto"/>
            </w:pPr>
            <w:r w:rsidRPr="00000000">
              <w:rPr>
                <w:rtl w:val="0"/>
              </w:rPr>
              <w:t xml:space="preserve"> 2.3.2.ATD.1: Explain what medicines are, how they are used, and the importance of utilizing medications properly. </w:t>
            </w:r>
          </w:p>
          <w:p w:rsidR="00000000" w:rsidRPr="00000000" w:rsidP="00000000" w14:paraId="00000035">
            <w:pPr>
              <w:spacing w:after="200" w:line="276" w:lineRule="auto"/>
            </w:pPr>
            <w:r w:rsidRPr="00000000">
              <w:rPr>
                <w:rtl w:val="0"/>
              </w:rPr>
              <w:t xml:space="preserve">2.3.2.ATD.2: Identify ways in which drugs, including some medicines, can be harmful. </w:t>
            </w:r>
          </w:p>
          <w:p w:rsidR="00000000" w:rsidRPr="00000000" w:rsidP="00000000" w14:paraId="00000036">
            <w:pPr>
              <w:spacing w:after="200" w:line="276" w:lineRule="auto"/>
            </w:pPr>
            <w:r w:rsidRPr="00000000">
              <w:rPr>
                <w:rtl w:val="0"/>
              </w:rPr>
              <w:t>2.3.2.ATD.3: Explain effects of tobacco use on personal hygiene, health, and safety.</w:t>
            </w:r>
          </w:p>
          <w:p w:rsidR="00000000" w:rsidRPr="00000000" w:rsidP="00000000" w14:paraId="00000037">
            <w:pPr>
              <w:spacing w:after="200" w:line="276" w:lineRule="auto"/>
            </w:pPr>
            <w:r w:rsidRPr="00000000">
              <w:rPr>
                <w:rtl w:val="0"/>
              </w:rPr>
              <w:t xml:space="preserve">2.3.2.DSDT.1: Recognize that some people may have difficulty controlling their use of alcohol, tobacco, and other drugs. </w:t>
            </w:r>
          </w:p>
          <w:p w:rsidR="00000000" w:rsidRPr="00000000" w:rsidP="00000000" w14:paraId="00000038">
            <w:pPr>
              <w:spacing w:after="200" w:line="276" w:lineRule="auto"/>
              <w:rPr>
                <w:rFonts w:ascii="Calibri" w:eastAsia="Calibri" w:hAnsi="Calibri" w:cs="Calibri"/>
                <w:b w:val="0"/>
                <w:bCs w:val="0"/>
                <w:color w:val="000000"/>
                <w:sz w:val="22"/>
                <w:szCs w:val="22"/>
              </w:rPr>
            </w:pPr>
            <w:r w:rsidRPr="00000000">
              <w:rPr>
                <w:rtl w:val="0"/>
              </w:rPr>
              <w:t>2.3.2.DSDT.2: Explain that individuals who abuse alcohol, tobacco, and other drugs can get help.</w:t>
            </w:r>
          </w:p>
        </w:tc>
      </w:tr>
      <w:tr>
        <w:tblPrEx>
          <w:tblW w:w="13200" w:type="dxa"/>
          <w:tblInd w:w="-230" w:type="dxa"/>
          <w:tblLayout w:type="fixed"/>
          <w:tblLook w:val="0400"/>
        </w:tblPrEx>
        <w:trPr>
          <w:cantSplit w:val="0"/>
          <w:trHeight w:val="1120"/>
          <w:tblHeader w:val="0"/>
        </w:trPr>
        <w:tc>
          <w:tcPr>
            <w:gridSpan w:val="7"/>
          </w:tcPr>
          <w:p w:rsidR="00000000" w:rsidRPr="00000000" w:rsidP="00000000" w14:paraId="0000003F">
            <w:pPr>
              <w:pageBreakBefore w:val="0"/>
              <w:pBdr>
                <w:top w:val="nil"/>
                <w:left w:val="nil"/>
                <w:bottom w:val="nil"/>
                <w:right w:val="nil"/>
                <w:between w:val="nil"/>
              </w:pBdr>
              <w:shd w:val="clear" w:color="auto" w:fill="auto"/>
              <w:spacing w:before="0" w:after="200" w:line="276" w:lineRule="auto"/>
              <w:rPr>
                <w:rFonts w:ascii="Calibri" w:eastAsia="Calibri" w:hAnsi="Calibri" w:cs="Calibri"/>
                <w:b w:val="0"/>
                <w:bCs w:val="0"/>
                <w:color w:val="000000"/>
                <w:sz w:val="22"/>
                <w:szCs w:val="22"/>
              </w:rPr>
            </w:pPr>
            <w:r w:rsidRPr="00000000">
              <w:rPr>
                <w:rFonts w:ascii="Calibri" w:eastAsia="Calibri" w:hAnsi="Calibri" w:cs="Calibri"/>
                <w:b/>
                <w:bCs/>
                <w:color w:val="000000"/>
                <w:sz w:val="22"/>
                <w:szCs w:val="22"/>
                <w:u w:val="single"/>
                <w:rtl w:val="0"/>
              </w:rPr>
              <w:t>Rationale and Transfer Goals</w:t>
            </w:r>
            <w:r w:rsidRPr="00000000">
              <w:rPr>
                <w:rFonts w:ascii="Calibri" w:eastAsia="Calibri" w:hAnsi="Calibri" w:cs="Calibri"/>
                <w:b w:val="0"/>
                <w:bCs w:val="0"/>
                <w:color w:val="000000"/>
                <w:sz w:val="22"/>
                <w:szCs w:val="22"/>
                <w:rtl w:val="0"/>
              </w:rPr>
              <w:t xml:space="preserve">: </w:t>
            </w:r>
          </w:p>
          <w:p w:rsidR="00000000" w:rsidRPr="00000000" w:rsidP="00000000" w14:paraId="00000040">
            <w:pPr>
              <w:pageBreakBefore w:val="0"/>
              <w:pBdr>
                <w:top w:val="nil"/>
                <w:left w:val="nil"/>
                <w:bottom w:val="nil"/>
                <w:right w:val="nil"/>
                <w:between w:val="nil"/>
              </w:pBdr>
              <w:shd w:val="clear" w:color="auto" w:fill="auto"/>
              <w:spacing w:before="0" w:after="200" w:line="276" w:lineRule="auto"/>
              <w:rPr>
                <w:rFonts w:ascii="Calibri" w:eastAsia="Calibri" w:hAnsi="Calibri" w:cs="Calibri"/>
                <w:b w:val="0"/>
                <w:bCs w:val="0"/>
                <w:color w:val="000000"/>
                <w:sz w:val="22"/>
                <w:szCs w:val="22"/>
              </w:rPr>
            </w:pPr>
            <w:r w:rsidRPr="00000000">
              <w:rPr>
                <w:rFonts w:ascii="Calibri" w:eastAsia="Calibri" w:hAnsi="Calibri" w:cs="Calibri"/>
                <w:b w:val="0"/>
                <w:bCs w:val="0"/>
                <w:color w:val="000000"/>
                <w:sz w:val="22"/>
                <w:szCs w:val="22"/>
                <w:rtl w:val="0"/>
              </w:rPr>
              <w:t>The grades K-2 Comprehensive Health Education Units are a cohesive set of four units that will scaffold instruction from one grade level to the next. The units are made up of a blended set of standards and cumulative progress indicators that fully encapsulate the major ideas and themes behind the unit. The incorporation of different standards through major, supporting and additional concepts provide a greater opportunity for comprehensive health instruction in each unit. Students will begin the year with a Wellness unit that blends general health skills involving topics such as hygiene, nutrition and physical activity. Units will then progress to develop decision-making skills that will be applied in various situations in later units involving physical activity, alcohol, tobacco, drugs, relationships, interpersonal communication, and character development.</w:t>
            </w:r>
          </w:p>
        </w:tc>
      </w:tr>
      <w:tr>
        <w:tblPrEx>
          <w:tblW w:w="13200" w:type="dxa"/>
          <w:tblInd w:w="-230" w:type="dxa"/>
          <w:tblLayout w:type="fixed"/>
          <w:tblLook w:val="0400"/>
        </w:tblPrEx>
        <w:trPr>
          <w:cantSplit w:val="0"/>
          <w:trHeight w:val="900"/>
          <w:tblHeader w:val="0"/>
        </w:trPr>
        <w:tc>
          <w:tcPr>
            <w:gridSpan w:val="7"/>
          </w:tcPr>
          <w:p w:rsidR="00000000" w:rsidRPr="00000000" w:rsidP="00000000" w14:paraId="00000047">
            <w:pPr>
              <w:pageBreakBefore w:val="0"/>
              <w:pBdr>
                <w:top w:val="nil"/>
                <w:left w:val="nil"/>
                <w:bottom w:val="nil"/>
                <w:right w:val="nil"/>
                <w:between w:val="nil"/>
              </w:pBdr>
              <w:shd w:val="clear" w:color="auto" w:fill="auto"/>
              <w:spacing w:before="0" w:after="200" w:line="276" w:lineRule="auto"/>
              <w:rPr>
                <w:rFonts w:ascii="Calibri" w:eastAsia="Calibri" w:hAnsi="Calibri" w:cs="Calibri"/>
                <w:b w:val="0"/>
                <w:bCs w:val="0"/>
                <w:color w:val="000000"/>
                <w:sz w:val="22"/>
                <w:szCs w:val="22"/>
              </w:rPr>
            </w:pPr>
            <w:r w:rsidRPr="00000000">
              <w:rPr>
                <w:rFonts w:ascii="Calibri" w:eastAsia="Calibri" w:hAnsi="Calibri" w:cs="Calibri"/>
                <w:b/>
                <w:bCs/>
                <w:color w:val="000000"/>
                <w:sz w:val="22"/>
                <w:szCs w:val="22"/>
                <w:u w:val="single"/>
                <w:rtl w:val="0"/>
              </w:rPr>
              <w:t>Enduring Understandings:</w:t>
            </w:r>
            <w:r w:rsidRPr="00000000">
              <w:rPr>
                <w:rFonts w:ascii="Calibri" w:eastAsia="Calibri" w:hAnsi="Calibri" w:cs="Calibri"/>
                <w:b w:val="0"/>
                <w:bCs w:val="0"/>
                <w:color w:val="000000"/>
                <w:sz w:val="22"/>
                <w:szCs w:val="22"/>
                <w:rtl w:val="0"/>
              </w:rPr>
              <w:t xml:space="preserve"> </w:t>
            </w:r>
          </w:p>
          <w:p w:rsidR="00000000" w:rsidRPr="00000000" w:rsidP="00000000" w14:paraId="00000048">
            <w:pPr>
              <w:spacing w:after="200" w:line="276" w:lineRule="auto"/>
            </w:pPr>
            <w:r w:rsidRPr="00000000">
              <w:rPr>
                <w:rtl w:val="0"/>
              </w:rPr>
              <w:t>Individuals enjoy different activities and grow at different rates. (K)</w:t>
            </w:r>
          </w:p>
          <w:p w:rsidR="00000000" w:rsidRPr="00000000" w:rsidP="00000000" w14:paraId="00000049">
            <w:pPr>
              <w:spacing w:after="200" w:line="276" w:lineRule="auto"/>
            </w:pPr>
            <w:r w:rsidRPr="00000000">
              <w:rPr>
                <w:rtl w:val="0"/>
              </w:rPr>
              <w:t>Personal hygiene and self-help skills promote healthy habits (using utensils, choosing clothes, brushing teeth) (K)</w:t>
            </w:r>
          </w:p>
          <w:p w:rsidR="00000000" w:rsidRPr="00000000" w:rsidP="00000000" w14:paraId="0000004A">
            <w:pPr>
              <w:spacing w:line="276" w:lineRule="auto"/>
            </w:pPr>
            <w:r w:rsidRPr="00000000">
              <w:rPr>
                <w:rtl w:val="0"/>
              </w:rPr>
              <w:t xml:space="preserve">Develop and demonstrate an awareness of healthy habits (use clean tissues, wash hands, handle food hygienically) that support personal wellness. K </w:t>
            </w:r>
          </w:p>
          <w:p w:rsidR="00000000" w:rsidRPr="00000000" w:rsidP="00000000" w14:paraId="0000004B">
            <w:pPr>
              <w:spacing w:line="276" w:lineRule="auto"/>
            </w:pPr>
          </w:p>
          <w:p w:rsidR="00000000" w:rsidRPr="00000000" w:rsidP="00000000" w14:paraId="0000004C">
            <w:pPr>
              <w:spacing w:after="200" w:line="276" w:lineRule="auto"/>
            </w:pPr>
            <w:r w:rsidRPr="00000000">
              <w:rPr>
                <w:rtl w:val="0"/>
              </w:rPr>
              <w:t xml:space="preserve">All living things may have the capacity to reproduce. </w:t>
            </w:r>
          </w:p>
          <w:p w:rsidR="00000000" w:rsidRPr="00000000" w:rsidP="00000000" w14:paraId="0000004D">
            <w:pPr>
              <w:spacing w:after="200" w:line="276" w:lineRule="auto"/>
            </w:pPr>
            <w:r w:rsidRPr="00000000">
              <w:rPr>
                <w:rtl w:val="0"/>
              </w:rPr>
              <w:t xml:space="preserve">Many factors influence how we think about ourselves and others. </w:t>
            </w:r>
          </w:p>
          <w:p w:rsidR="00000000" w:rsidRPr="00000000" w:rsidP="00000000" w14:paraId="0000004E">
            <w:pPr>
              <w:spacing w:after="200" w:line="276" w:lineRule="auto"/>
            </w:pPr>
            <w:r w:rsidRPr="00000000">
              <w:rPr>
                <w:rtl w:val="0"/>
              </w:rPr>
              <w:t xml:space="preserve">There are different ways that individuals handle stress, and some are healthier than others. </w:t>
            </w:r>
          </w:p>
          <w:p w:rsidR="00000000" w:rsidRPr="00000000" w:rsidP="00000000" w14:paraId="0000004F">
            <w:pPr>
              <w:spacing w:after="200" w:line="276" w:lineRule="auto"/>
            </w:pPr>
            <w:r w:rsidRPr="00000000">
              <w:rPr>
                <w:rtl w:val="0"/>
              </w:rPr>
              <w:t xml:space="preserve">Every individual has unique skills and qualities, which can include the activities they enjoy such as how they may dress, their mannerisms, things they like to do. </w:t>
            </w:r>
          </w:p>
          <w:p w:rsidR="00000000" w:rsidRPr="00000000" w:rsidP="00000000" w14:paraId="00000050">
            <w:pPr>
              <w:spacing w:after="200" w:line="276" w:lineRule="auto"/>
            </w:pPr>
            <w:r w:rsidRPr="00000000">
              <w:rPr>
                <w:rtl w:val="0"/>
              </w:rPr>
              <w:t xml:space="preserve"> Families shape the way we think about our bodies, our health and our behaviors. </w:t>
            </w:r>
          </w:p>
          <w:p w:rsidR="00000000" w:rsidRPr="00000000" w:rsidP="00000000" w14:paraId="00000051">
            <w:pPr>
              <w:spacing w:after="200" w:line="276" w:lineRule="auto"/>
            </w:pPr>
            <w:r w:rsidRPr="00000000">
              <w:rPr>
                <w:rtl w:val="0"/>
              </w:rPr>
              <w:t xml:space="preserve">People have relationships with others in the local community and beyond. </w:t>
            </w:r>
          </w:p>
          <w:p w:rsidR="00000000" w:rsidRPr="00000000" w:rsidP="00000000" w14:paraId="00000052">
            <w:pPr>
              <w:spacing w:after="200" w:line="276" w:lineRule="auto"/>
            </w:pPr>
            <w:r w:rsidRPr="00000000">
              <w:rPr>
                <w:rtl w:val="0"/>
              </w:rPr>
              <w:t xml:space="preserve">Conflicts between people occur, and there are effective ways to resolve them. </w:t>
            </w:r>
          </w:p>
          <w:p w:rsidR="00000000" w:rsidRPr="00000000" w:rsidP="00000000" w14:paraId="00000053">
            <w:pPr>
              <w:spacing w:after="200" w:line="276" w:lineRule="auto"/>
            </w:pPr>
            <w:r w:rsidRPr="00000000">
              <w:rPr>
                <w:rtl w:val="0"/>
              </w:rPr>
              <w:t>Communication is the basis for strengthening relationships and resolving conflict between people.</w:t>
            </w:r>
          </w:p>
          <w:p w:rsidR="00000000" w:rsidRPr="00000000" w:rsidP="00000000" w14:paraId="00000054">
            <w:pPr>
              <w:spacing w:after="200" w:line="276" w:lineRule="auto"/>
            </w:pPr>
            <w:r w:rsidRPr="00000000">
              <w:rPr>
                <w:rtl w:val="0"/>
              </w:rPr>
              <w:t xml:space="preserve">People in the community work to keep us safe. </w:t>
            </w:r>
          </w:p>
          <w:p w:rsidR="00000000" w:rsidRPr="00000000" w:rsidP="00000000" w14:paraId="00000055">
            <w:pPr>
              <w:spacing w:after="200" w:line="276" w:lineRule="auto"/>
            </w:pPr>
            <w:r w:rsidRPr="00000000">
              <w:rPr>
                <w:rtl w:val="0"/>
              </w:rPr>
              <w:t xml:space="preserve">Individuals face a variety of situations that may result in different types of feelings and learning how to talk about their feelings is important. </w:t>
            </w:r>
          </w:p>
          <w:p w:rsidR="00000000" w:rsidRPr="00000000" w:rsidP="00000000" w14:paraId="00000056">
            <w:pPr>
              <w:spacing w:after="200" w:line="276" w:lineRule="auto"/>
            </w:pPr>
            <w:r w:rsidRPr="00000000">
              <w:rPr>
                <w:rtl w:val="0"/>
              </w:rPr>
              <w:t>Nutritious food choices promote wellness and are the basis for healthy eating habits.</w:t>
            </w:r>
          </w:p>
          <w:p w:rsidR="00000000" w:rsidRPr="00000000" w:rsidP="00000000" w14:paraId="00000057">
            <w:pPr>
              <w:spacing w:after="200" w:line="276" w:lineRule="auto"/>
            </w:pPr>
            <w:r w:rsidRPr="00000000">
              <w:rPr>
                <w:rtl w:val="0"/>
              </w:rPr>
              <w:t xml:space="preserve">The environment can impact personal health and safety in different ways. </w:t>
            </w:r>
          </w:p>
          <w:p w:rsidR="00000000" w:rsidRPr="00000000" w:rsidP="00000000" w14:paraId="00000058">
            <w:pPr>
              <w:spacing w:after="200" w:line="276" w:lineRule="auto"/>
            </w:pPr>
            <w:r w:rsidRPr="00000000">
              <w:rPr>
                <w:rtl w:val="0"/>
              </w:rPr>
              <w:t xml:space="preserve">Potential hazards exist in personal space, in the school, in the community, and globally. </w:t>
            </w:r>
          </w:p>
          <w:p w:rsidR="00000000" w:rsidRPr="00000000" w:rsidP="00000000" w14:paraId="00000059">
            <w:pPr>
              <w:spacing w:after="200" w:line="276" w:lineRule="auto"/>
            </w:pPr>
            <w:r w:rsidRPr="00000000">
              <w:rPr>
                <w:rtl w:val="0"/>
              </w:rPr>
              <w:t xml:space="preserve">Any time children feel uncomfortable or in an unsafe situation, they should reach out to a trusted adult for help. </w:t>
            </w:r>
          </w:p>
          <w:p w:rsidR="00000000" w:rsidRPr="00000000" w:rsidP="00000000" w14:paraId="0000005A">
            <w:pPr>
              <w:spacing w:after="200" w:line="276" w:lineRule="auto"/>
            </w:pPr>
            <w:r w:rsidRPr="00000000">
              <w:rPr>
                <w:rtl w:val="0"/>
              </w:rPr>
              <w:t xml:space="preserve">People need food, water, air, waste removal, and a particular range of temperatures in their environment to stay healthy. </w:t>
            </w:r>
          </w:p>
          <w:p w:rsidR="00000000" w:rsidRPr="00000000" w:rsidP="00000000" w14:paraId="0000005B">
            <w:pPr>
              <w:spacing w:after="200" w:line="276" w:lineRule="auto"/>
            </w:pPr>
            <w:r w:rsidRPr="00000000">
              <w:rPr>
                <w:rtl w:val="0"/>
              </w:rPr>
              <w:t xml:space="preserve">The use of alcohol, tobacco, and other drugs in unsafe ways is harmful to one's health. </w:t>
            </w:r>
          </w:p>
          <w:p w:rsidR="00000000" w:rsidRPr="00000000" w:rsidP="00000000" w14:paraId="0000005C">
            <w:pPr>
              <w:spacing w:after="200" w:line="276" w:lineRule="auto"/>
            </w:pPr>
            <w:r w:rsidRPr="00000000">
              <w:rPr>
                <w:rtl w:val="0"/>
              </w:rPr>
              <w:t xml:space="preserve">Substance abuse is caused by a variety of factors. </w:t>
            </w:r>
          </w:p>
          <w:p w:rsidR="00000000" w:rsidRPr="00000000" w:rsidP="00000000" w14:paraId="0000005D">
            <w:pPr>
              <w:spacing w:after="200" w:line="276" w:lineRule="auto"/>
            </w:pPr>
            <w:r w:rsidRPr="00000000">
              <w:rPr>
                <w:rtl w:val="0"/>
              </w:rPr>
              <w:t xml:space="preserve">There are many ways to obtain help for treatment of alcohol, tobacco, and other substance abuse problems. </w:t>
            </w:r>
          </w:p>
        </w:tc>
      </w:tr>
      <w:tr>
        <w:tblPrEx>
          <w:tblW w:w="13200" w:type="dxa"/>
          <w:tblInd w:w="-230" w:type="dxa"/>
          <w:tblLayout w:type="fixed"/>
          <w:tblLook w:val="0400"/>
        </w:tblPrEx>
        <w:trPr>
          <w:cantSplit w:val="0"/>
          <w:trHeight w:val="900"/>
          <w:tblHeader w:val="0"/>
        </w:trPr>
        <w:tc>
          <w:tcPr>
            <w:gridSpan w:val="7"/>
          </w:tcPr>
          <w:p w:rsidR="00000000" w:rsidRPr="00000000" w:rsidP="00000000" w14:paraId="00000064">
            <w:pPr>
              <w:pageBreakBefore w:val="0"/>
              <w:pBdr>
                <w:top w:val="nil"/>
                <w:left w:val="nil"/>
                <w:bottom w:val="nil"/>
                <w:right w:val="nil"/>
                <w:between w:val="nil"/>
              </w:pBdr>
              <w:shd w:val="clear" w:color="auto" w:fill="auto"/>
              <w:spacing w:before="0" w:after="200" w:line="276" w:lineRule="auto"/>
              <w:rPr>
                <w:rFonts w:ascii="Calibri" w:eastAsia="Calibri" w:hAnsi="Calibri" w:cs="Calibri"/>
                <w:b w:val="0"/>
                <w:bCs w:val="0"/>
                <w:color w:val="000000"/>
                <w:sz w:val="22"/>
                <w:szCs w:val="22"/>
              </w:rPr>
            </w:pPr>
            <w:r w:rsidRPr="00000000">
              <w:rPr>
                <w:rFonts w:ascii="Calibri" w:eastAsia="Calibri" w:hAnsi="Calibri" w:cs="Calibri"/>
                <w:b/>
                <w:bCs/>
                <w:color w:val="000000"/>
                <w:sz w:val="22"/>
                <w:szCs w:val="22"/>
                <w:u w:val="single"/>
                <w:rtl w:val="0"/>
              </w:rPr>
              <w:t>Essential Questions</w:t>
            </w:r>
            <w:r w:rsidRPr="00000000">
              <w:rPr>
                <w:rFonts w:ascii="Calibri" w:eastAsia="Calibri" w:hAnsi="Calibri" w:cs="Calibri"/>
                <w:b w:val="0"/>
                <w:bCs w:val="0"/>
                <w:color w:val="000000"/>
                <w:sz w:val="22"/>
                <w:szCs w:val="22"/>
                <w:rtl w:val="0"/>
              </w:rPr>
              <w:t xml:space="preserve">: </w:t>
            </w:r>
          </w:p>
          <w:p w:rsidR="00000000" w:rsidRPr="00000000" w:rsidP="00000000" w14:paraId="00000065">
            <w:pPr>
              <w:pageBreakBefore w:val="0"/>
              <w:numPr>
                <w:ilvl w:val="0"/>
                <w:numId w:val="7"/>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 xml:space="preserve">What decisions we make as families? K </w:t>
            </w:r>
          </w:p>
          <w:p w:rsidR="00000000" w:rsidRPr="00000000" w:rsidP="00000000" w14:paraId="00000066">
            <w:pPr>
              <w:pageBreakBefore w:val="0"/>
              <w:numPr>
                <w:ilvl w:val="0"/>
                <w:numId w:val="7"/>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 xml:space="preserve">When does a decision need to be made to ensure the health of all family members?   1 </w:t>
            </w:r>
          </w:p>
          <w:p w:rsidR="00000000" w:rsidRPr="00000000" w:rsidP="00000000" w14:paraId="00000067">
            <w:pPr>
              <w:pageBreakBefore w:val="0"/>
              <w:numPr>
                <w:ilvl w:val="0"/>
                <w:numId w:val="7"/>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 xml:space="preserve">When does a decision influence the health of oneself or other family members? 2 </w:t>
            </w:r>
          </w:p>
          <w:p w:rsidR="00000000" w:rsidRPr="00000000" w:rsidP="00000000" w14:paraId="00000068">
            <w:pPr>
              <w:pageBreakBefore w:val="0"/>
              <w:numPr>
                <w:ilvl w:val="0"/>
                <w:numId w:val="7"/>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What are the roles and responsibilities of family members in different types of families both locally and globally?  K</w:t>
            </w:r>
          </w:p>
          <w:p w:rsidR="00000000" w:rsidRPr="00000000" w:rsidP="00000000" w14:paraId="00000069">
            <w:pPr>
              <w:pageBreakBefore w:val="0"/>
              <w:numPr>
                <w:ilvl w:val="0"/>
                <w:numId w:val="7"/>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 xml:space="preserve">What are the different roles that family members assume and the responsibilities that are included? 1 </w:t>
            </w:r>
          </w:p>
          <w:p w:rsidR="00000000" w:rsidRPr="00000000" w:rsidP="00000000" w14:paraId="0000006A">
            <w:pPr>
              <w:pageBreakBefore w:val="0"/>
              <w:numPr>
                <w:ilvl w:val="0"/>
                <w:numId w:val="7"/>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What are the different types of families and distinguish responsibilities family members may assume? 2</w:t>
            </w:r>
          </w:p>
          <w:p w:rsidR="00000000" w:rsidRPr="00000000" w:rsidP="00000000" w14:paraId="0000006B">
            <w:pPr>
              <w:pageBreakBefore w:val="0"/>
              <w:numPr>
                <w:ilvl w:val="0"/>
                <w:numId w:val="7"/>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Identify how making decisions can impact healthy relationships.   2</w:t>
            </w:r>
          </w:p>
          <w:p w:rsidR="00000000" w:rsidRPr="00000000" w:rsidP="00000000" w14:paraId="0000006C">
            <w:pPr>
              <w:pageBreakBefore w:val="0"/>
              <w:numPr>
                <w:ilvl w:val="0"/>
                <w:numId w:val="7"/>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Similarities between boys and girls?   K</w:t>
            </w:r>
          </w:p>
          <w:p w:rsidR="00000000" w:rsidRPr="00000000" w:rsidP="00000000" w14:paraId="0000006D">
            <w:pPr>
              <w:pageBreakBefore w:val="0"/>
              <w:numPr>
                <w:ilvl w:val="0"/>
                <w:numId w:val="7"/>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What are the physical characteristics of both genders? 1</w:t>
            </w:r>
          </w:p>
          <w:p w:rsidR="00000000" w:rsidRPr="00000000" w:rsidP="00000000" w14:paraId="0000006E">
            <w:pPr>
              <w:pageBreakBefore w:val="0"/>
              <w:numPr>
                <w:ilvl w:val="0"/>
                <w:numId w:val="7"/>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 xml:space="preserve">How can a mother’s decision help or harm the baby?  1 </w:t>
            </w:r>
          </w:p>
          <w:p w:rsidR="00000000" w:rsidRPr="00000000" w:rsidP="00000000" w14:paraId="0000006F">
            <w:pPr>
              <w:pageBreakBefore w:val="0"/>
              <w:pBdr>
                <w:top w:val="nil"/>
                <w:left w:val="nil"/>
                <w:bottom w:val="nil"/>
                <w:right w:val="nil"/>
                <w:between w:val="nil"/>
              </w:pBdr>
              <w:shd w:val="clear" w:color="auto" w:fill="auto"/>
              <w:spacing w:before="0" w:after="200" w:line="276" w:lineRule="auto"/>
            </w:pPr>
          </w:p>
          <w:p w:rsidR="00000000" w:rsidRPr="00000000" w:rsidP="00000000" w14:paraId="00000070">
            <w:pPr>
              <w:pageBreakBefore w:val="0"/>
              <w:pBdr>
                <w:top w:val="nil"/>
                <w:left w:val="nil"/>
                <w:bottom w:val="nil"/>
                <w:right w:val="nil"/>
                <w:between w:val="nil"/>
              </w:pBdr>
              <w:shd w:val="clear" w:color="auto" w:fill="auto"/>
              <w:spacing w:before="0" w:after="200" w:line="276" w:lineRule="auto"/>
            </w:pPr>
          </w:p>
          <w:p w:rsidR="00000000" w:rsidRPr="00000000" w:rsidP="00000000" w14:paraId="00000071">
            <w:pPr>
              <w:pageBreakBefore w:val="0"/>
              <w:pBdr>
                <w:top w:val="nil"/>
                <w:left w:val="nil"/>
                <w:bottom w:val="nil"/>
                <w:right w:val="nil"/>
                <w:between w:val="nil"/>
              </w:pBdr>
              <w:shd w:val="clear" w:color="auto" w:fill="auto"/>
              <w:spacing w:before="0" w:after="200" w:line="276" w:lineRule="auto"/>
            </w:pPr>
          </w:p>
        </w:tc>
      </w:tr>
      <w:tr>
        <w:tblPrEx>
          <w:tblW w:w="13200" w:type="dxa"/>
          <w:tblInd w:w="-230" w:type="dxa"/>
          <w:tblLayout w:type="fixed"/>
          <w:tblLook w:val="0400"/>
        </w:tblPrEx>
        <w:trPr>
          <w:cantSplit w:val="0"/>
          <w:trHeight w:val="220"/>
          <w:tblHeader w:val="0"/>
        </w:trPr>
        <w:tc>
          <w:tcPr>
            <w:gridSpan w:val="3"/>
            <w:shd w:val="clear" w:color="auto" w:fill="1F497D"/>
          </w:tcPr>
          <w:p w:rsidR="00000000" w:rsidRPr="00000000" w:rsidP="00000000" w14:paraId="00000078">
            <w:pPr>
              <w:pageBreakBefore w:val="0"/>
              <w:pBdr>
                <w:top w:val="nil"/>
                <w:left w:val="nil"/>
                <w:bottom w:val="nil"/>
                <w:right w:val="nil"/>
                <w:between w:val="nil"/>
              </w:pBdr>
              <w:shd w:val="clear" w:color="auto" w:fill="auto"/>
              <w:spacing w:before="0" w:after="200" w:line="276" w:lineRule="auto"/>
              <w:jc w:val="center"/>
              <w:rPr>
                <w:rFonts w:ascii="Calibri" w:eastAsia="Calibri" w:hAnsi="Calibri" w:cs="Calibri"/>
                <w:b w:val="0"/>
                <w:bCs w:val="0"/>
                <w:color w:val="FFFFFF"/>
                <w:sz w:val="22"/>
                <w:szCs w:val="22"/>
              </w:rPr>
            </w:pPr>
            <w:r w:rsidRPr="00000000">
              <w:rPr>
                <w:rFonts w:ascii="Calibri" w:eastAsia="Calibri" w:hAnsi="Calibri" w:cs="Calibri"/>
                <w:b/>
                <w:bCs/>
                <w:color w:val="FFFFFF"/>
                <w:sz w:val="22"/>
                <w:szCs w:val="22"/>
                <w:rtl w:val="0"/>
              </w:rPr>
              <w:t>Content/Objectives</w:t>
            </w:r>
          </w:p>
        </w:tc>
        <w:tc>
          <w:tcPr>
            <w:gridSpan w:val="4"/>
            <w:shd w:val="clear" w:color="auto" w:fill="1F497D"/>
          </w:tcPr>
          <w:p w:rsidR="00000000" w:rsidRPr="00000000" w:rsidP="00000000" w14:paraId="0000007B">
            <w:pPr>
              <w:pageBreakBefore w:val="0"/>
              <w:pBdr>
                <w:top w:val="nil"/>
                <w:left w:val="nil"/>
                <w:bottom w:val="nil"/>
                <w:right w:val="nil"/>
                <w:between w:val="nil"/>
              </w:pBdr>
              <w:shd w:val="clear" w:color="auto" w:fill="auto"/>
              <w:spacing w:before="0" w:after="200" w:line="276" w:lineRule="auto"/>
              <w:jc w:val="center"/>
              <w:rPr>
                <w:rFonts w:ascii="Calibri" w:eastAsia="Calibri" w:hAnsi="Calibri" w:cs="Calibri"/>
                <w:b w:val="0"/>
                <w:bCs w:val="0"/>
                <w:color w:val="FFFFFF"/>
                <w:sz w:val="22"/>
                <w:szCs w:val="22"/>
              </w:rPr>
            </w:pPr>
            <w:r w:rsidRPr="00000000">
              <w:rPr>
                <w:rFonts w:ascii="Calibri" w:eastAsia="Calibri" w:hAnsi="Calibri" w:cs="Calibri"/>
                <w:b/>
                <w:bCs/>
                <w:color w:val="FFFFFF"/>
                <w:sz w:val="22"/>
                <w:szCs w:val="22"/>
                <w:rtl w:val="0"/>
              </w:rPr>
              <w:t>Instructional Actions</w:t>
            </w:r>
          </w:p>
        </w:tc>
      </w:tr>
      <w:tr>
        <w:tblPrEx>
          <w:tblW w:w="13200" w:type="dxa"/>
          <w:tblInd w:w="-230" w:type="dxa"/>
          <w:tblLayout w:type="fixed"/>
          <w:tblLook w:val="0400"/>
        </w:tblPrEx>
        <w:trPr>
          <w:cantSplit w:val="0"/>
          <w:trHeight w:val="200"/>
          <w:tblHeader w:val="0"/>
        </w:trPr>
        <w:tc>
          <w:tcPr/>
          <w:p w:rsidR="00000000" w:rsidRPr="00000000" w:rsidP="00000000" w14:paraId="0000007F">
            <w:pPr>
              <w:pageBreakBefore w:val="0"/>
              <w:pBdr>
                <w:top w:val="nil"/>
                <w:left w:val="nil"/>
                <w:bottom w:val="nil"/>
                <w:right w:val="nil"/>
                <w:between w:val="nil"/>
              </w:pBdr>
              <w:shd w:val="clear" w:color="auto" w:fill="auto"/>
              <w:spacing w:before="0" w:after="200" w:line="276" w:lineRule="auto"/>
              <w:jc w:val="center"/>
              <w:rPr>
                <w:rFonts w:ascii="Calibri" w:eastAsia="Calibri" w:hAnsi="Calibri" w:cs="Calibri"/>
                <w:b w:val="0"/>
                <w:bCs w:val="0"/>
                <w:color w:val="000000"/>
                <w:sz w:val="22"/>
                <w:szCs w:val="22"/>
              </w:rPr>
            </w:pPr>
            <w:r w:rsidRPr="00000000">
              <w:rPr>
                <w:rFonts w:ascii="Calibri" w:eastAsia="Calibri" w:hAnsi="Calibri" w:cs="Calibri"/>
                <w:b/>
                <w:bCs/>
                <w:color w:val="000000"/>
                <w:sz w:val="22"/>
                <w:szCs w:val="22"/>
                <w:rtl w:val="0"/>
              </w:rPr>
              <w:t>Content</w:t>
            </w:r>
          </w:p>
          <w:p w:rsidR="00000000" w:rsidRPr="00000000" w:rsidP="00000000" w14:paraId="00000080">
            <w:pPr>
              <w:pageBreakBefore w:val="0"/>
              <w:pBdr>
                <w:top w:val="nil"/>
                <w:left w:val="nil"/>
                <w:bottom w:val="nil"/>
                <w:right w:val="nil"/>
                <w:between w:val="nil"/>
              </w:pBdr>
              <w:shd w:val="clear" w:color="auto" w:fill="auto"/>
              <w:spacing w:before="0" w:after="200" w:line="276" w:lineRule="auto"/>
              <w:jc w:val="center"/>
              <w:rPr>
                <w:rFonts w:ascii="Calibri" w:eastAsia="Calibri" w:hAnsi="Calibri" w:cs="Calibri"/>
                <w:b w:val="0"/>
                <w:bCs w:val="0"/>
                <w:color w:val="000000"/>
                <w:sz w:val="22"/>
                <w:szCs w:val="22"/>
              </w:rPr>
            </w:pPr>
            <w:r w:rsidRPr="00000000">
              <w:rPr>
                <w:rFonts w:ascii="Calibri" w:eastAsia="Calibri" w:hAnsi="Calibri" w:cs="Calibri"/>
                <w:b/>
                <w:bCs/>
                <w:i/>
                <w:iCs/>
                <w:color w:val="000000"/>
                <w:sz w:val="22"/>
                <w:szCs w:val="22"/>
                <w:rtl w:val="0"/>
              </w:rPr>
              <w:t>What students will know</w:t>
            </w:r>
          </w:p>
        </w:tc>
        <w:tc>
          <w:tcPr>
            <w:gridSpan w:val="2"/>
          </w:tcPr>
          <w:p w:rsidR="00000000" w:rsidRPr="00000000" w:rsidP="00000000" w14:paraId="00000081">
            <w:pPr>
              <w:pageBreakBefore w:val="0"/>
              <w:pBdr>
                <w:top w:val="nil"/>
                <w:left w:val="nil"/>
                <w:bottom w:val="nil"/>
                <w:right w:val="nil"/>
                <w:between w:val="nil"/>
              </w:pBdr>
              <w:shd w:val="clear" w:color="auto" w:fill="auto"/>
              <w:spacing w:before="0" w:after="200" w:line="276" w:lineRule="auto"/>
              <w:jc w:val="center"/>
              <w:rPr>
                <w:rFonts w:ascii="Calibri" w:eastAsia="Calibri" w:hAnsi="Calibri" w:cs="Calibri"/>
                <w:b w:val="0"/>
                <w:bCs w:val="0"/>
                <w:color w:val="000000"/>
                <w:sz w:val="22"/>
                <w:szCs w:val="22"/>
              </w:rPr>
            </w:pPr>
            <w:r w:rsidRPr="00000000">
              <w:rPr>
                <w:rFonts w:ascii="Calibri" w:eastAsia="Calibri" w:hAnsi="Calibri" w:cs="Calibri"/>
                <w:b/>
                <w:bCs/>
                <w:color w:val="000000"/>
                <w:sz w:val="22"/>
                <w:szCs w:val="22"/>
                <w:rtl w:val="0"/>
              </w:rPr>
              <w:t>Skills</w:t>
            </w:r>
          </w:p>
          <w:p w:rsidR="00000000" w:rsidRPr="00000000" w:rsidP="00000000" w14:paraId="00000082">
            <w:pPr>
              <w:pageBreakBefore w:val="0"/>
              <w:pBdr>
                <w:top w:val="nil"/>
                <w:left w:val="nil"/>
                <w:bottom w:val="nil"/>
                <w:right w:val="nil"/>
                <w:between w:val="nil"/>
              </w:pBdr>
              <w:shd w:val="clear" w:color="auto" w:fill="auto"/>
              <w:spacing w:before="0" w:after="200" w:line="276" w:lineRule="auto"/>
              <w:jc w:val="center"/>
              <w:rPr>
                <w:rFonts w:ascii="Calibri" w:eastAsia="Calibri" w:hAnsi="Calibri" w:cs="Calibri"/>
                <w:b w:val="0"/>
                <w:bCs w:val="0"/>
                <w:color w:val="000000"/>
                <w:sz w:val="22"/>
                <w:szCs w:val="22"/>
              </w:rPr>
            </w:pPr>
            <w:r w:rsidRPr="00000000">
              <w:rPr>
                <w:rFonts w:ascii="Calibri" w:eastAsia="Calibri" w:hAnsi="Calibri" w:cs="Calibri"/>
                <w:b/>
                <w:bCs/>
                <w:i/>
                <w:iCs/>
                <w:color w:val="000000"/>
                <w:sz w:val="22"/>
                <w:szCs w:val="22"/>
                <w:rtl w:val="0"/>
              </w:rPr>
              <w:t>What students will be able to do</w:t>
            </w:r>
          </w:p>
        </w:tc>
        <w:tc>
          <w:tcPr>
            <w:gridSpan w:val="2"/>
          </w:tcPr>
          <w:p w:rsidR="00000000" w:rsidRPr="00000000" w:rsidP="00000000" w14:paraId="00000084">
            <w:pPr>
              <w:pageBreakBefore w:val="0"/>
              <w:pBdr>
                <w:top w:val="nil"/>
                <w:left w:val="nil"/>
                <w:bottom w:val="nil"/>
                <w:right w:val="nil"/>
                <w:between w:val="nil"/>
              </w:pBdr>
              <w:shd w:val="clear" w:color="auto" w:fill="auto"/>
              <w:spacing w:before="0" w:after="200" w:line="276" w:lineRule="auto"/>
              <w:jc w:val="center"/>
              <w:rPr>
                <w:rFonts w:ascii="Calibri" w:eastAsia="Calibri" w:hAnsi="Calibri" w:cs="Calibri"/>
                <w:b w:val="0"/>
                <w:bCs w:val="0"/>
                <w:color w:val="000000"/>
                <w:sz w:val="22"/>
                <w:szCs w:val="22"/>
              </w:rPr>
            </w:pPr>
            <w:r w:rsidRPr="00000000">
              <w:rPr>
                <w:rFonts w:ascii="Calibri" w:eastAsia="Calibri" w:hAnsi="Calibri" w:cs="Calibri"/>
                <w:b/>
                <w:bCs/>
                <w:color w:val="000000"/>
                <w:sz w:val="22"/>
                <w:szCs w:val="22"/>
                <w:rtl w:val="0"/>
              </w:rPr>
              <w:t>Activities/Strategies</w:t>
            </w:r>
          </w:p>
          <w:p w:rsidR="00000000" w:rsidRPr="00000000" w:rsidP="00000000" w14:paraId="00000085">
            <w:pPr>
              <w:pageBreakBefore w:val="0"/>
              <w:pBdr>
                <w:top w:val="nil"/>
                <w:left w:val="nil"/>
                <w:bottom w:val="nil"/>
                <w:right w:val="nil"/>
                <w:between w:val="nil"/>
              </w:pBdr>
              <w:shd w:val="clear" w:color="auto" w:fill="auto"/>
              <w:spacing w:before="0" w:after="200" w:line="276" w:lineRule="auto"/>
              <w:jc w:val="center"/>
              <w:rPr>
                <w:rFonts w:ascii="Calibri" w:eastAsia="Calibri" w:hAnsi="Calibri" w:cs="Calibri"/>
                <w:b w:val="0"/>
                <w:bCs w:val="0"/>
                <w:color w:val="000000"/>
                <w:sz w:val="22"/>
                <w:szCs w:val="22"/>
              </w:rPr>
            </w:pPr>
            <w:r w:rsidRPr="00000000">
              <w:rPr>
                <w:rFonts w:ascii="Calibri" w:eastAsia="Calibri" w:hAnsi="Calibri" w:cs="Calibri"/>
                <w:b/>
                <w:bCs/>
                <w:i/>
                <w:iCs/>
                <w:color w:val="000000"/>
                <w:sz w:val="22"/>
                <w:szCs w:val="22"/>
                <w:rtl w:val="0"/>
              </w:rPr>
              <w:t>How we teach content and skills</w:t>
            </w:r>
          </w:p>
        </w:tc>
        <w:tc>
          <w:tcPr/>
          <w:p w:rsidR="00000000" w:rsidRPr="00000000" w:rsidP="00000000" w14:paraId="00000087">
            <w:pPr>
              <w:pageBreakBefore w:val="0"/>
              <w:pBdr>
                <w:top w:val="nil"/>
                <w:left w:val="nil"/>
                <w:bottom w:val="nil"/>
                <w:right w:val="nil"/>
                <w:between w:val="nil"/>
              </w:pBdr>
              <w:shd w:val="clear" w:color="auto" w:fill="auto"/>
              <w:spacing w:before="0" w:after="200" w:line="276" w:lineRule="auto"/>
              <w:jc w:val="center"/>
              <w:rPr>
                <w:rFonts w:ascii="Calibri" w:eastAsia="Calibri" w:hAnsi="Calibri" w:cs="Calibri"/>
                <w:b w:val="0"/>
                <w:bCs w:val="0"/>
                <w:color w:val="000000"/>
                <w:sz w:val="22"/>
                <w:szCs w:val="22"/>
              </w:rPr>
            </w:pPr>
            <w:r w:rsidRPr="00000000">
              <w:rPr>
                <w:b/>
                <w:bCs/>
                <w:rtl w:val="0"/>
              </w:rPr>
              <w:t>Formative Assessments</w:t>
            </w:r>
          </w:p>
          <w:p w:rsidR="00000000" w:rsidRPr="00000000" w:rsidP="00000000" w14:paraId="00000088">
            <w:pPr>
              <w:pageBreakBefore w:val="0"/>
              <w:pBdr>
                <w:top w:val="nil"/>
                <w:left w:val="nil"/>
                <w:bottom w:val="nil"/>
                <w:right w:val="nil"/>
                <w:between w:val="nil"/>
              </w:pBdr>
              <w:shd w:val="clear" w:color="auto" w:fill="auto"/>
              <w:spacing w:before="0" w:after="200" w:line="276" w:lineRule="auto"/>
              <w:jc w:val="center"/>
              <w:rPr>
                <w:rFonts w:ascii="Calibri" w:eastAsia="Calibri" w:hAnsi="Calibri" w:cs="Calibri"/>
                <w:b w:val="0"/>
                <w:bCs w:val="0"/>
                <w:color w:val="000000"/>
                <w:sz w:val="22"/>
                <w:szCs w:val="22"/>
              </w:rPr>
            </w:pPr>
            <w:r w:rsidRPr="00000000">
              <w:rPr>
                <w:rFonts w:ascii="Calibri" w:eastAsia="Calibri" w:hAnsi="Calibri" w:cs="Calibri"/>
                <w:b/>
                <w:bCs/>
                <w:i/>
                <w:iCs/>
                <w:color w:val="000000"/>
                <w:sz w:val="22"/>
                <w:szCs w:val="22"/>
                <w:rtl w:val="0"/>
              </w:rPr>
              <w:t>How we know students have learned</w:t>
            </w:r>
          </w:p>
        </w:tc>
        <w:tc>
          <w:tcPr/>
          <w:p w:rsidR="00000000" w:rsidRPr="00000000" w:rsidP="00000000" w14:paraId="00000089">
            <w:pPr>
              <w:spacing w:after="200" w:line="276" w:lineRule="auto"/>
              <w:jc w:val="center"/>
            </w:pPr>
            <w:r w:rsidRPr="00000000">
              <w:rPr>
                <w:b/>
                <w:bCs/>
                <w:rtl w:val="0"/>
              </w:rPr>
              <w:t>Summative Assessments</w:t>
            </w:r>
          </w:p>
          <w:p w:rsidR="00000000" w:rsidRPr="00000000" w:rsidP="00000000" w14:paraId="0000008A">
            <w:pPr>
              <w:spacing w:after="200" w:line="276" w:lineRule="auto"/>
              <w:jc w:val="center"/>
              <w:rPr>
                <w:b/>
                <w:bCs/>
              </w:rPr>
            </w:pPr>
            <w:r w:rsidRPr="00000000">
              <w:rPr>
                <w:b/>
                <w:bCs/>
                <w:i/>
                <w:iCs/>
                <w:rtl w:val="0"/>
              </w:rPr>
              <w:t>How we know students have learned</w:t>
            </w:r>
          </w:p>
        </w:tc>
      </w:tr>
      <w:tr>
        <w:tblPrEx>
          <w:tblW w:w="13200" w:type="dxa"/>
          <w:tblInd w:w="-230" w:type="dxa"/>
          <w:tblLayout w:type="fixed"/>
          <w:tblLook w:val="0400"/>
        </w:tblPrEx>
        <w:trPr>
          <w:cantSplit w:val="0"/>
          <w:trHeight w:val="120"/>
          <w:tblHeader w:val="0"/>
        </w:trPr>
        <w:tc>
          <w:tcPr/>
          <w:p w:rsidR="00000000" w:rsidRPr="00000000" w:rsidP="00000000" w14:paraId="0000008B">
            <w:pPr>
              <w:pageBreakBefore w:val="0"/>
              <w:pBdr>
                <w:top w:val="nil"/>
                <w:left w:val="nil"/>
                <w:bottom w:val="nil"/>
                <w:right w:val="nil"/>
                <w:between w:val="nil"/>
              </w:pBdr>
              <w:shd w:val="clear" w:color="auto" w:fill="auto"/>
              <w:spacing w:before="0" w:after="200" w:line="276" w:lineRule="auto"/>
              <w:rPr>
                <w:rFonts w:ascii="Calibri" w:eastAsia="Calibri" w:hAnsi="Calibri" w:cs="Calibri"/>
                <w:b w:val="0"/>
                <w:bCs w:val="0"/>
                <w:color w:val="000000"/>
                <w:sz w:val="22"/>
                <w:szCs w:val="22"/>
              </w:rPr>
            </w:pPr>
          </w:p>
          <w:p w:rsidR="00000000" w:rsidRPr="00000000" w:rsidP="00000000" w14:paraId="0000008C">
            <w:pPr>
              <w:pageBreakBefore w:val="0"/>
              <w:numPr>
                <w:ilvl w:val="0"/>
                <w:numId w:val="2"/>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 xml:space="preserve"> The diversity of family forms in contemporary society</w:t>
            </w:r>
          </w:p>
          <w:p w:rsidR="00000000" w:rsidRPr="00000000" w:rsidP="00000000" w14:paraId="0000008D">
            <w:pPr>
              <w:pageBreakBefore w:val="0"/>
              <w:numPr>
                <w:ilvl w:val="0"/>
                <w:numId w:val="2"/>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 xml:space="preserve"> Gender-specific similarities and differences exist between males and females.</w:t>
            </w:r>
          </w:p>
          <w:p w:rsidR="00000000" w:rsidRPr="00000000" w:rsidP="00000000" w14:paraId="0000008E">
            <w:pPr>
              <w:pageBreakBefore w:val="0"/>
              <w:numPr>
                <w:ilvl w:val="0"/>
                <w:numId w:val="2"/>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The health of the birth mother impacts the development of the fetus.</w:t>
            </w:r>
          </w:p>
          <w:p w:rsidR="00000000" w:rsidRPr="00000000" w:rsidP="00000000" w14:paraId="0000008F">
            <w:pPr>
              <w:pageBreakBefore w:val="0"/>
              <w:numPr>
                <w:ilvl w:val="0"/>
                <w:numId w:val="2"/>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Effective decision-making skills foster healthier lifestyle choices.</w:t>
            </w:r>
          </w:p>
          <w:p w:rsidR="00000000" w:rsidRPr="00000000" w:rsidP="00000000" w14:paraId="00000090">
            <w:pPr>
              <w:pageBreakBefore w:val="0"/>
              <w:pBdr>
                <w:top w:val="nil"/>
                <w:left w:val="nil"/>
                <w:bottom w:val="nil"/>
                <w:right w:val="nil"/>
                <w:between w:val="nil"/>
              </w:pBdr>
              <w:shd w:val="clear" w:color="auto" w:fill="auto"/>
              <w:spacing w:before="0" w:after="200" w:line="276" w:lineRule="auto"/>
              <w:rPr>
                <w:rFonts w:ascii="Calibri" w:eastAsia="Calibri" w:hAnsi="Calibri" w:cs="Calibri"/>
                <w:b w:val="0"/>
                <w:bCs w:val="0"/>
                <w:color w:val="000000"/>
                <w:sz w:val="22"/>
                <w:szCs w:val="22"/>
              </w:rPr>
            </w:pPr>
          </w:p>
          <w:p w:rsidR="00000000" w:rsidRPr="00000000" w:rsidP="00000000" w14:paraId="00000091">
            <w:pPr>
              <w:pageBreakBefore w:val="0"/>
              <w:pBdr>
                <w:top w:val="nil"/>
                <w:left w:val="nil"/>
                <w:bottom w:val="nil"/>
                <w:right w:val="nil"/>
                <w:between w:val="nil"/>
              </w:pBdr>
              <w:shd w:val="clear" w:color="auto" w:fill="auto"/>
              <w:spacing w:before="0" w:after="200" w:line="276" w:lineRule="auto"/>
              <w:rPr>
                <w:rFonts w:ascii="Calibri" w:eastAsia="Calibri" w:hAnsi="Calibri" w:cs="Calibri"/>
                <w:b w:val="0"/>
                <w:bCs w:val="0"/>
                <w:color w:val="000000"/>
                <w:sz w:val="22"/>
                <w:szCs w:val="22"/>
              </w:rPr>
            </w:pPr>
          </w:p>
          <w:p w:rsidR="00000000" w:rsidRPr="00000000" w:rsidP="00000000" w14:paraId="00000092">
            <w:pPr>
              <w:pageBreakBefore w:val="0"/>
              <w:pBdr>
                <w:top w:val="nil"/>
                <w:left w:val="nil"/>
                <w:bottom w:val="nil"/>
                <w:right w:val="nil"/>
                <w:between w:val="nil"/>
              </w:pBdr>
              <w:shd w:val="clear" w:color="auto" w:fill="auto"/>
              <w:spacing w:before="0" w:after="200" w:line="276" w:lineRule="auto"/>
              <w:rPr>
                <w:rFonts w:ascii="Calibri" w:eastAsia="Calibri" w:hAnsi="Calibri" w:cs="Calibri"/>
                <w:b w:val="0"/>
                <w:bCs w:val="0"/>
                <w:color w:val="000000"/>
                <w:sz w:val="22"/>
                <w:szCs w:val="22"/>
              </w:rPr>
            </w:pPr>
          </w:p>
          <w:p w:rsidR="00000000" w:rsidRPr="00000000" w:rsidP="00000000" w14:paraId="00000093">
            <w:pPr>
              <w:pageBreakBefore w:val="0"/>
              <w:pBdr>
                <w:top w:val="nil"/>
                <w:left w:val="nil"/>
                <w:bottom w:val="nil"/>
                <w:right w:val="nil"/>
                <w:between w:val="nil"/>
              </w:pBdr>
              <w:shd w:val="clear" w:color="auto" w:fill="auto"/>
              <w:spacing w:before="0" w:after="200" w:line="276" w:lineRule="auto"/>
              <w:rPr>
                <w:rFonts w:ascii="Calibri" w:eastAsia="Calibri" w:hAnsi="Calibri" w:cs="Calibri"/>
                <w:b w:val="0"/>
                <w:bCs w:val="0"/>
                <w:color w:val="000000"/>
                <w:sz w:val="22"/>
                <w:szCs w:val="22"/>
              </w:rPr>
            </w:pPr>
          </w:p>
          <w:p w:rsidR="00000000" w:rsidRPr="00000000" w:rsidP="00000000" w14:paraId="00000094">
            <w:pPr>
              <w:pageBreakBefore w:val="0"/>
              <w:pBdr>
                <w:top w:val="nil"/>
                <w:left w:val="nil"/>
                <w:bottom w:val="nil"/>
                <w:right w:val="nil"/>
                <w:between w:val="nil"/>
              </w:pBdr>
              <w:shd w:val="clear" w:color="auto" w:fill="auto"/>
              <w:spacing w:before="0" w:after="200" w:line="276" w:lineRule="auto"/>
              <w:rPr>
                <w:rFonts w:ascii="Calibri" w:eastAsia="Calibri" w:hAnsi="Calibri" w:cs="Calibri"/>
                <w:b w:val="0"/>
                <w:bCs w:val="0"/>
                <w:color w:val="000000"/>
                <w:sz w:val="22"/>
                <w:szCs w:val="22"/>
              </w:rPr>
            </w:pPr>
          </w:p>
          <w:p w:rsidR="00000000" w:rsidRPr="00000000" w:rsidP="00000000" w14:paraId="00000095">
            <w:pPr>
              <w:pageBreakBefore w:val="0"/>
              <w:pBdr>
                <w:top w:val="nil"/>
                <w:left w:val="nil"/>
                <w:bottom w:val="nil"/>
                <w:right w:val="nil"/>
                <w:between w:val="nil"/>
              </w:pBdr>
              <w:shd w:val="clear" w:color="auto" w:fill="auto"/>
              <w:spacing w:before="0" w:after="200" w:line="276" w:lineRule="auto"/>
              <w:rPr>
                <w:rFonts w:ascii="Calibri" w:eastAsia="Calibri" w:hAnsi="Calibri" w:cs="Calibri"/>
                <w:b w:val="0"/>
                <w:bCs w:val="0"/>
                <w:color w:val="000000"/>
                <w:sz w:val="22"/>
                <w:szCs w:val="22"/>
              </w:rPr>
            </w:pPr>
          </w:p>
          <w:p w:rsidR="00000000" w:rsidRPr="00000000" w:rsidP="00000000" w14:paraId="00000096">
            <w:pPr>
              <w:pageBreakBefore w:val="0"/>
              <w:pBdr>
                <w:top w:val="nil"/>
                <w:left w:val="nil"/>
                <w:bottom w:val="nil"/>
                <w:right w:val="nil"/>
                <w:between w:val="nil"/>
              </w:pBdr>
              <w:shd w:val="clear" w:color="auto" w:fill="auto"/>
              <w:spacing w:before="0" w:after="200" w:line="276" w:lineRule="auto"/>
              <w:rPr>
                <w:rFonts w:ascii="Calibri" w:eastAsia="Calibri" w:hAnsi="Calibri" w:cs="Calibri"/>
                <w:b w:val="0"/>
                <w:bCs w:val="0"/>
                <w:color w:val="000000"/>
                <w:sz w:val="22"/>
                <w:szCs w:val="22"/>
              </w:rPr>
            </w:pPr>
          </w:p>
          <w:p w:rsidR="00000000" w:rsidRPr="00000000" w:rsidP="00000000" w14:paraId="00000097">
            <w:pPr>
              <w:pageBreakBefore w:val="0"/>
              <w:pBdr>
                <w:top w:val="nil"/>
                <w:left w:val="nil"/>
                <w:bottom w:val="nil"/>
                <w:right w:val="nil"/>
                <w:between w:val="nil"/>
              </w:pBdr>
              <w:shd w:val="clear" w:color="auto" w:fill="auto"/>
              <w:spacing w:before="0" w:after="200" w:line="276" w:lineRule="auto"/>
              <w:rPr>
                <w:rFonts w:ascii="Calibri" w:eastAsia="Calibri" w:hAnsi="Calibri" w:cs="Calibri"/>
                <w:b w:val="0"/>
                <w:bCs w:val="0"/>
                <w:color w:val="000000"/>
                <w:sz w:val="22"/>
                <w:szCs w:val="22"/>
              </w:rPr>
            </w:pPr>
          </w:p>
        </w:tc>
        <w:tc>
          <w:tcPr>
            <w:gridSpan w:val="2"/>
          </w:tcPr>
          <w:p w:rsidR="00000000" w:rsidRPr="00000000" w:rsidP="00000000" w14:paraId="00000098">
            <w:pPr>
              <w:pageBreakBefore w:val="0"/>
              <w:numPr>
                <w:ilvl w:val="0"/>
                <w:numId w:val="5"/>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 xml:space="preserve">Compare and contrast different kinds of families locally and globally. </w:t>
            </w:r>
          </w:p>
          <w:p w:rsidR="00000000" w:rsidRPr="00000000" w:rsidP="00000000" w14:paraId="00000099">
            <w:pPr>
              <w:pageBreakBefore w:val="0"/>
              <w:numPr>
                <w:ilvl w:val="0"/>
                <w:numId w:val="4"/>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 xml:space="preserve">Distinguish the roles and responsibilities of different family members. </w:t>
            </w:r>
          </w:p>
          <w:p w:rsidR="00000000" w:rsidRPr="00000000" w:rsidP="00000000" w14:paraId="0000009A">
            <w:pPr>
              <w:pageBreakBefore w:val="0"/>
              <w:numPr>
                <w:ilvl w:val="0"/>
                <w:numId w:val="3"/>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 xml:space="preserve">Determine the factors that contribute to healthy relationships. </w:t>
            </w:r>
          </w:p>
          <w:p w:rsidR="00000000" w:rsidRPr="00000000" w:rsidP="00000000" w14:paraId="0000009B">
            <w:pPr>
              <w:pageBreakBefore w:val="0"/>
              <w:numPr>
                <w:ilvl w:val="0"/>
                <w:numId w:val="3"/>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Compare and contrast the physical differences and similarities of the genders.</w:t>
            </w:r>
          </w:p>
          <w:p w:rsidR="00000000" w:rsidRPr="00000000" w:rsidP="00000000" w14:paraId="0000009C">
            <w:pPr>
              <w:pageBreakBefore w:val="0"/>
              <w:numPr>
                <w:ilvl w:val="0"/>
                <w:numId w:val="3"/>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 xml:space="preserve">Explain the factors that contribute to a mother having a healthy baby. </w:t>
            </w:r>
          </w:p>
          <w:p w:rsidR="00000000" w:rsidRPr="00000000" w:rsidP="00000000" w14:paraId="0000009D">
            <w:pPr>
              <w:pageBreakBefore w:val="0"/>
              <w:numPr>
                <w:ilvl w:val="0"/>
                <w:numId w:val="3"/>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 xml:space="preserve">Explain what a decision is and why it is advantageous to think before acting. </w:t>
            </w:r>
          </w:p>
          <w:p w:rsidR="00000000" w:rsidRPr="00000000" w:rsidP="00000000" w14:paraId="0000009E">
            <w:pPr>
              <w:pageBreakBefore w:val="0"/>
              <w:numPr>
                <w:ilvl w:val="0"/>
                <w:numId w:val="3"/>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Relate decision-making by self and others to one’s health</w:t>
            </w:r>
          </w:p>
          <w:p w:rsidR="00000000" w:rsidRPr="00000000" w:rsidP="00000000" w14:paraId="0000009F">
            <w:pPr>
              <w:pageBreakBefore w:val="0"/>
              <w:numPr>
                <w:ilvl w:val="0"/>
                <w:numId w:val="3"/>
              </w:numPr>
              <w:pBdr>
                <w:top w:val="nil"/>
                <w:left w:val="nil"/>
                <w:bottom w:val="nil"/>
                <w:right w:val="nil"/>
                <w:between w:val="nil"/>
              </w:pBdr>
              <w:shd w:val="clear" w:color="auto" w:fill="auto"/>
              <w:spacing w:before="0" w:after="20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Determine ways parents, peers, technology, culture, and the media influence health decisions</w:t>
            </w:r>
          </w:p>
        </w:tc>
        <w:tc>
          <w:tcPr>
            <w:gridSpan w:val="2"/>
          </w:tcPr>
          <w:p w:rsidR="00000000" w:rsidRPr="00000000" w:rsidP="00000000" w14:paraId="000000A1">
            <w:pPr>
              <w:pageBreakBefore w:val="0"/>
              <w:numPr>
                <w:ilvl w:val="0"/>
                <w:numId w:val="6"/>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 xml:space="preserve">Compare and contrast different kinds of families </w:t>
            </w:r>
          </w:p>
          <w:p w:rsidR="00000000" w:rsidRPr="00000000" w:rsidP="00000000" w14:paraId="000000A2">
            <w:pPr>
              <w:pageBreakBefore w:val="0"/>
              <w:numPr>
                <w:ilvl w:val="0"/>
                <w:numId w:val="6"/>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 xml:space="preserve">Responsibility chart of families </w:t>
            </w:r>
          </w:p>
          <w:p w:rsidR="00000000" w:rsidRPr="00000000" w:rsidP="00000000" w14:paraId="000000A3">
            <w:pPr>
              <w:pageBreakBefore w:val="0"/>
              <w:numPr>
                <w:ilvl w:val="0"/>
                <w:numId w:val="6"/>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 xml:space="preserve">Compare and contrast genders </w:t>
            </w:r>
          </w:p>
          <w:p w:rsidR="00000000" w:rsidRPr="00000000" w:rsidP="00000000" w14:paraId="000000A4">
            <w:pPr>
              <w:pageBreakBefore w:val="0"/>
              <w:numPr>
                <w:ilvl w:val="0"/>
                <w:numId w:val="6"/>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 xml:space="preserve">Factors that contribute to a mother having a healthy baby. </w:t>
            </w:r>
          </w:p>
          <w:p w:rsidR="00000000" w:rsidRPr="00000000" w:rsidP="00000000" w14:paraId="000000A5">
            <w:pPr>
              <w:pageBreakBefore w:val="0"/>
              <w:numPr>
                <w:ilvl w:val="0"/>
                <w:numId w:val="6"/>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 xml:space="preserve">Decision-making activity </w:t>
            </w:r>
          </w:p>
          <w:p w:rsidR="00000000" w:rsidRPr="00000000" w:rsidP="00000000" w14:paraId="000000A6">
            <w:pPr>
              <w:pageBreakBefore w:val="0"/>
              <w:numPr>
                <w:ilvl w:val="0"/>
                <w:numId w:val="6"/>
              </w:numPr>
              <w:pBdr>
                <w:top w:val="nil"/>
                <w:left w:val="nil"/>
                <w:bottom w:val="nil"/>
                <w:right w:val="nil"/>
                <w:between w:val="nil"/>
              </w:pBdr>
              <w:shd w:val="clear" w:color="auto" w:fill="auto"/>
              <w:spacing w:before="0" w:after="20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Discuss ways parents, peers, technology, culture, and the media influence health decisions</w:t>
            </w:r>
          </w:p>
        </w:tc>
        <w:tc>
          <w:tcPr/>
          <w:p w:rsidR="00000000" w:rsidRPr="00000000" w:rsidP="00000000" w14:paraId="000000A8">
            <w:pPr>
              <w:pageBreakBefore w:val="0"/>
              <w:numPr>
                <w:ilvl w:val="0"/>
                <w:numId w:val="8"/>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 xml:space="preserve">Student independent work </w:t>
            </w:r>
          </w:p>
          <w:p w:rsidR="00000000" w:rsidRPr="00000000" w:rsidP="00000000" w14:paraId="000000A9">
            <w:pPr>
              <w:pageBreakBefore w:val="0"/>
              <w:numPr>
                <w:ilvl w:val="0"/>
                <w:numId w:val="8"/>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 xml:space="preserve">Student participation </w:t>
            </w:r>
          </w:p>
          <w:p w:rsidR="00000000" w:rsidRPr="00000000" w:rsidP="00000000" w14:paraId="000000AA">
            <w:pPr>
              <w:pageBreakBefore w:val="0"/>
              <w:numPr>
                <w:ilvl w:val="0"/>
                <w:numId w:val="8"/>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 xml:space="preserve">Discussion </w:t>
            </w:r>
          </w:p>
          <w:p w:rsidR="00000000" w:rsidRPr="00000000" w:rsidP="00000000" w14:paraId="000000AB">
            <w:pPr>
              <w:pageBreakBefore w:val="0"/>
              <w:numPr>
                <w:ilvl w:val="0"/>
                <w:numId w:val="8"/>
              </w:numPr>
              <w:pBdr>
                <w:top w:val="nil"/>
                <w:left w:val="nil"/>
                <w:bottom w:val="nil"/>
                <w:right w:val="nil"/>
                <w:between w:val="nil"/>
              </w:pBdr>
              <w:shd w:val="clear" w:color="auto" w:fill="auto"/>
              <w:spacing w:before="0" w:after="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 xml:space="preserve">Follow-up activities </w:t>
            </w:r>
          </w:p>
          <w:p w:rsidR="00000000" w:rsidRPr="00000000" w:rsidP="00000000" w14:paraId="000000AC">
            <w:pPr>
              <w:pageBreakBefore w:val="0"/>
              <w:numPr>
                <w:ilvl w:val="0"/>
                <w:numId w:val="8"/>
              </w:numPr>
              <w:pBdr>
                <w:top w:val="nil"/>
                <w:left w:val="nil"/>
                <w:bottom w:val="nil"/>
                <w:right w:val="nil"/>
                <w:between w:val="nil"/>
              </w:pBdr>
              <w:shd w:val="clear" w:color="auto" w:fill="auto"/>
              <w:spacing w:before="0" w:after="200" w:line="276" w:lineRule="auto"/>
              <w:ind w:left="720" w:hanging="360"/>
              <w:rPr>
                <w:b w:val="0"/>
                <w:bCs w:val="0"/>
                <w:color w:val="000000"/>
                <w:sz w:val="22"/>
                <w:szCs w:val="22"/>
              </w:rPr>
            </w:pPr>
            <w:r w:rsidRPr="00000000">
              <w:rPr>
                <w:rFonts w:ascii="Calibri" w:eastAsia="Calibri" w:hAnsi="Calibri" w:cs="Calibri"/>
                <w:b w:val="0"/>
                <w:bCs w:val="0"/>
                <w:color w:val="000000"/>
                <w:sz w:val="22"/>
                <w:szCs w:val="22"/>
                <w:rtl w:val="0"/>
              </w:rPr>
              <w:t xml:space="preserve">Assessment </w:t>
            </w:r>
          </w:p>
        </w:tc>
        <w:tc>
          <w:tcPr/>
          <w:p w:rsidR="00000000" w:rsidRPr="00000000" w:rsidP="00000000" w14:paraId="000000AD">
            <w:pPr>
              <w:numPr>
                <w:ilvl w:val="0"/>
                <w:numId w:val="9"/>
              </w:numPr>
              <w:spacing w:line="276" w:lineRule="auto"/>
              <w:ind w:left="720" w:hanging="360"/>
            </w:pPr>
            <w:r w:rsidRPr="00000000">
              <w:rPr>
                <w:rtl w:val="0"/>
              </w:rPr>
              <w:t>Sorting relay</w:t>
            </w:r>
          </w:p>
          <w:p w:rsidR="00000000" w:rsidRPr="00000000" w:rsidP="00000000" w14:paraId="000000AE">
            <w:pPr>
              <w:numPr>
                <w:ilvl w:val="0"/>
                <w:numId w:val="9"/>
              </w:numPr>
              <w:spacing w:line="276" w:lineRule="auto"/>
              <w:ind w:left="720" w:hanging="360"/>
            </w:pPr>
            <w:r w:rsidRPr="00000000">
              <w:rPr>
                <w:rtl w:val="0"/>
              </w:rPr>
              <w:t>4 corners to give answer to questions</w:t>
            </w:r>
          </w:p>
          <w:p w:rsidR="00000000" w:rsidRPr="00000000" w:rsidP="00000000" w14:paraId="000000AF">
            <w:pPr>
              <w:numPr>
                <w:ilvl w:val="0"/>
                <w:numId w:val="9"/>
              </w:numPr>
              <w:spacing w:line="276" w:lineRule="auto"/>
              <w:ind w:left="720" w:hanging="360"/>
            </w:pPr>
            <w:r w:rsidRPr="00000000">
              <w:rPr>
                <w:rtl w:val="0"/>
              </w:rPr>
              <w:t>Act scenarios out in front of class</w:t>
            </w:r>
          </w:p>
          <w:p w:rsidR="00000000" w:rsidRPr="00000000" w:rsidP="00000000" w14:paraId="000000B0">
            <w:pPr>
              <w:numPr>
                <w:ilvl w:val="0"/>
                <w:numId w:val="9"/>
              </w:numPr>
              <w:spacing w:line="276" w:lineRule="auto"/>
              <w:ind w:left="720" w:hanging="360"/>
            </w:pPr>
            <w:r w:rsidRPr="00000000">
              <w:rPr>
                <w:rtl w:val="0"/>
              </w:rPr>
              <w:t>Hand signals to show answer</w:t>
            </w:r>
          </w:p>
          <w:p w:rsidR="00000000" w:rsidRPr="00000000" w:rsidP="00000000" w14:paraId="000000B1">
            <w:pPr>
              <w:numPr>
                <w:ilvl w:val="0"/>
                <w:numId w:val="9"/>
              </w:numPr>
              <w:spacing w:line="276" w:lineRule="auto"/>
              <w:ind w:left="720" w:hanging="360"/>
            </w:pPr>
            <w:r w:rsidRPr="00000000">
              <w:rPr>
                <w:rtl w:val="0"/>
              </w:rPr>
              <w:t>Squads present a topic to the class</w:t>
            </w:r>
          </w:p>
        </w:tc>
      </w:tr>
      <w:tr>
        <w:tblPrEx>
          <w:tblW w:w="13200" w:type="dxa"/>
          <w:tblInd w:w="-230" w:type="dxa"/>
          <w:tblLayout w:type="fixed"/>
          <w:tblLook w:val="0400"/>
        </w:tblPrEx>
        <w:trPr>
          <w:cantSplit w:val="0"/>
          <w:trHeight w:val="220"/>
          <w:tblHeader w:val="0"/>
        </w:trPr>
        <w:tc>
          <w:tcPr>
            <w:gridSpan w:val="7"/>
            <w:shd w:val="clear" w:color="auto" w:fill="1F497D"/>
          </w:tcPr>
          <w:p w:rsidR="00000000" w:rsidRPr="00000000" w:rsidP="00000000" w14:paraId="000000B2">
            <w:pPr>
              <w:pageBreakBefore w:val="0"/>
              <w:pBdr>
                <w:top w:val="nil"/>
                <w:left w:val="nil"/>
                <w:bottom w:val="nil"/>
                <w:right w:val="nil"/>
                <w:between w:val="nil"/>
              </w:pBdr>
              <w:shd w:val="clear" w:color="auto" w:fill="auto"/>
              <w:spacing w:before="0" w:after="200" w:line="276" w:lineRule="auto"/>
              <w:jc w:val="center"/>
              <w:rPr>
                <w:rFonts w:ascii="Calibri" w:eastAsia="Calibri" w:hAnsi="Calibri" w:cs="Calibri"/>
                <w:b w:val="0"/>
                <w:bCs w:val="0"/>
                <w:color w:val="FFFFFF"/>
                <w:sz w:val="22"/>
                <w:szCs w:val="22"/>
              </w:rPr>
            </w:pPr>
            <w:r w:rsidRPr="00000000">
              <w:rPr>
                <w:rFonts w:ascii="Calibri" w:eastAsia="Calibri" w:hAnsi="Calibri" w:cs="Calibri"/>
                <w:b/>
                <w:bCs/>
                <w:color w:val="FFFFFF"/>
                <w:sz w:val="22"/>
                <w:szCs w:val="22"/>
                <w:u w:val="single"/>
                <w:rtl w:val="0"/>
              </w:rPr>
              <w:t xml:space="preserve">Spiraling for Mastery </w:t>
            </w:r>
          </w:p>
        </w:tc>
      </w:tr>
      <w:tr>
        <w:tblPrEx>
          <w:tblW w:w="13200" w:type="dxa"/>
          <w:tblInd w:w="-230" w:type="dxa"/>
          <w:tblLayout w:type="fixed"/>
          <w:tblLook w:val="0400"/>
        </w:tblPrEx>
        <w:trPr>
          <w:cantSplit w:val="0"/>
          <w:trHeight w:val="220"/>
          <w:tblHeader w:val="0"/>
        </w:trPr>
        <w:tc>
          <w:tcPr>
            <w:gridSpan w:val="2"/>
          </w:tcPr>
          <w:p w:rsidR="00000000" w:rsidRPr="00000000" w:rsidP="00000000" w14:paraId="000000B9">
            <w:pPr>
              <w:pageBreakBefore w:val="0"/>
              <w:pBdr>
                <w:top w:val="nil"/>
                <w:left w:val="nil"/>
                <w:bottom w:val="nil"/>
                <w:right w:val="nil"/>
                <w:between w:val="nil"/>
              </w:pBdr>
              <w:shd w:val="clear" w:color="auto" w:fill="auto"/>
              <w:spacing w:before="0" w:after="200" w:line="276" w:lineRule="auto"/>
              <w:jc w:val="center"/>
              <w:rPr>
                <w:rFonts w:ascii="Calibri" w:eastAsia="Calibri" w:hAnsi="Calibri" w:cs="Calibri"/>
                <w:b w:val="0"/>
                <w:bCs w:val="0"/>
                <w:color w:val="000000"/>
                <w:sz w:val="22"/>
                <w:szCs w:val="22"/>
              </w:rPr>
            </w:pPr>
            <w:r w:rsidRPr="00000000">
              <w:rPr>
                <w:rFonts w:ascii="Calibri" w:eastAsia="Calibri" w:hAnsi="Calibri" w:cs="Calibri"/>
                <w:b/>
                <w:bCs/>
                <w:color w:val="000000"/>
                <w:sz w:val="22"/>
                <w:szCs w:val="22"/>
                <w:rtl w:val="0"/>
              </w:rPr>
              <w:t>Content or Skill for this Unit</w:t>
            </w:r>
          </w:p>
        </w:tc>
        <w:tc>
          <w:tcPr>
            <w:gridSpan w:val="2"/>
          </w:tcPr>
          <w:p w:rsidR="00000000" w:rsidRPr="00000000" w:rsidP="00000000" w14:paraId="000000BB">
            <w:pPr>
              <w:pageBreakBefore w:val="0"/>
              <w:pBdr>
                <w:top w:val="nil"/>
                <w:left w:val="nil"/>
                <w:bottom w:val="nil"/>
                <w:right w:val="nil"/>
                <w:between w:val="nil"/>
              </w:pBdr>
              <w:shd w:val="clear" w:color="auto" w:fill="auto"/>
              <w:spacing w:before="0" w:after="200" w:line="276" w:lineRule="auto"/>
              <w:jc w:val="center"/>
              <w:rPr>
                <w:rFonts w:ascii="Calibri" w:eastAsia="Calibri" w:hAnsi="Calibri" w:cs="Calibri"/>
                <w:b w:val="0"/>
                <w:bCs w:val="0"/>
                <w:color w:val="000000"/>
                <w:sz w:val="22"/>
                <w:szCs w:val="22"/>
              </w:rPr>
            </w:pPr>
            <w:r w:rsidRPr="00000000">
              <w:rPr>
                <w:rFonts w:ascii="Calibri" w:eastAsia="Calibri" w:hAnsi="Calibri" w:cs="Calibri"/>
                <w:b/>
                <w:bCs/>
                <w:color w:val="000000"/>
                <w:sz w:val="22"/>
                <w:szCs w:val="22"/>
                <w:rtl w:val="0"/>
              </w:rPr>
              <w:t>Spiral Focus from Previous Unit</w:t>
            </w:r>
          </w:p>
        </w:tc>
        <w:tc>
          <w:tcPr>
            <w:gridSpan w:val="3"/>
          </w:tcPr>
          <w:p w:rsidR="00000000" w:rsidRPr="00000000" w:rsidP="00000000" w14:paraId="000000BD">
            <w:pPr>
              <w:pageBreakBefore w:val="0"/>
              <w:pBdr>
                <w:top w:val="nil"/>
                <w:left w:val="nil"/>
                <w:bottom w:val="nil"/>
                <w:right w:val="nil"/>
                <w:between w:val="nil"/>
              </w:pBdr>
              <w:shd w:val="clear" w:color="auto" w:fill="auto"/>
              <w:spacing w:before="0" w:after="200" w:line="276" w:lineRule="auto"/>
              <w:jc w:val="center"/>
              <w:rPr>
                <w:rFonts w:ascii="Calibri" w:eastAsia="Calibri" w:hAnsi="Calibri" w:cs="Calibri"/>
                <w:b w:val="0"/>
                <w:bCs w:val="0"/>
                <w:color w:val="000000"/>
                <w:sz w:val="22"/>
                <w:szCs w:val="22"/>
              </w:rPr>
            </w:pPr>
            <w:r w:rsidRPr="00000000">
              <w:rPr>
                <w:rFonts w:ascii="Calibri" w:eastAsia="Calibri" w:hAnsi="Calibri" w:cs="Calibri"/>
                <w:b/>
                <w:bCs/>
                <w:color w:val="000000"/>
                <w:sz w:val="22"/>
                <w:szCs w:val="22"/>
                <w:rtl w:val="0"/>
              </w:rPr>
              <w:t>Instructional Activity</w:t>
            </w:r>
          </w:p>
        </w:tc>
      </w:tr>
      <w:tr>
        <w:tblPrEx>
          <w:tblW w:w="13200" w:type="dxa"/>
          <w:tblInd w:w="-230" w:type="dxa"/>
          <w:tblLayout w:type="fixed"/>
          <w:tblLook w:val="0400"/>
        </w:tblPrEx>
        <w:trPr>
          <w:cantSplit w:val="0"/>
          <w:trHeight w:val="220"/>
          <w:tblHeader w:val="0"/>
        </w:trPr>
        <w:tc>
          <w:tcPr>
            <w:gridSpan w:val="2"/>
          </w:tcPr>
          <w:p w:rsidR="00000000" w:rsidRPr="00000000" w:rsidP="00000000" w14:paraId="000000C0">
            <w:pPr>
              <w:pageBreakBefore w:val="0"/>
              <w:pBdr>
                <w:top w:val="nil"/>
                <w:left w:val="nil"/>
                <w:bottom w:val="nil"/>
                <w:right w:val="nil"/>
                <w:between w:val="nil"/>
              </w:pBdr>
              <w:shd w:val="clear" w:color="auto" w:fill="auto"/>
              <w:spacing w:before="0" w:after="200" w:line="276" w:lineRule="auto"/>
              <w:rPr>
                <w:rFonts w:ascii="Calibri" w:eastAsia="Calibri" w:hAnsi="Calibri" w:cs="Calibri"/>
                <w:b w:val="0"/>
                <w:bCs w:val="0"/>
                <w:color w:val="000000"/>
                <w:sz w:val="22"/>
                <w:szCs w:val="22"/>
              </w:rPr>
            </w:pPr>
            <w:r w:rsidRPr="00000000">
              <w:rPr>
                <w:rFonts w:ascii="Calibri" w:eastAsia="Calibri" w:hAnsi="Calibri" w:cs="Calibri"/>
                <w:b w:val="0"/>
                <w:bCs w:val="0"/>
                <w:color w:val="000000"/>
                <w:sz w:val="22"/>
                <w:szCs w:val="22"/>
                <w:rtl w:val="0"/>
              </w:rPr>
              <w:t xml:space="preserve">Family Life </w:t>
            </w:r>
          </w:p>
        </w:tc>
        <w:tc>
          <w:tcPr>
            <w:gridSpan w:val="2"/>
          </w:tcPr>
          <w:p w:rsidR="00000000" w:rsidRPr="00000000" w:rsidP="00000000" w14:paraId="000000C2">
            <w:pPr>
              <w:pageBreakBefore w:val="0"/>
              <w:pBdr>
                <w:top w:val="nil"/>
                <w:left w:val="nil"/>
                <w:bottom w:val="nil"/>
                <w:right w:val="nil"/>
                <w:between w:val="nil"/>
              </w:pBdr>
              <w:shd w:val="clear" w:color="auto" w:fill="auto"/>
              <w:spacing w:before="0" w:after="200" w:line="276" w:lineRule="auto"/>
              <w:rPr>
                <w:rFonts w:ascii="Calibri" w:eastAsia="Calibri" w:hAnsi="Calibri" w:cs="Calibri"/>
                <w:b w:val="0"/>
                <w:bCs w:val="0"/>
                <w:color w:val="000000"/>
                <w:sz w:val="22"/>
                <w:szCs w:val="22"/>
              </w:rPr>
            </w:pPr>
            <w:r w:rsidRPr="00000000">
              <w:rPr>
                <w:rFonts w:ascii="Calibri" w:eastAsia="Calibri" w:hAnsi="Calibri" w:cs="Calibri"/>
                <w:b w:val="0"/>
                <w:bCs w:val="0"/>
                <w:color w:val="000000"/>
                <w:sz w:val="22"/>
                <w:szCs w:val="22"/>
                <w:rtl w:val="0"/>
              </w:rPr>
              <w:t xml:space="preserve">Unit 1 Wellness </w:t>
            </w:r>
          </w:p>
          <w:p w:rsidR="00000000" w:rsidRPr="00000000" w:rsidP="00000000" w14:paraId="000000C3">
            <w:pPr>
              <w:pageBreakBefore w:val="0"/>
              <w:pBdr>
                <w:top w:val="nil"/>
                <w:left w:val="nil"/>
                <w:bottom w:val="nil"/>
                <w:right w:val="nil"/>
                <w:between w:val="nil"/>
              </w:pBdr>
              <w:shd w:val="clear" w:color="auto" w:fill="auto"/>
              <w:spacing w:before="0" w:after="200" w:line="276" w:lineRule="auto"/>
              <w:rPr>
                <w:rFonts w:ascii="Calibri" w:eastAsia="Calibri" w:hAnsi="Calibri" w:cs="Calibri"/>
                <w:b w:val="0"/>
                <w:bCs w:val="0"/>
                <w:color w:val="000000"/>
                <w:sz w:val="22"/>
                <w:szCs w:val="22"/>
              </w:rPr>
            </w:pPr>
            <w:r w:rsidRPr="00000000">
              <w:rPr>
                <w:rFonts w:ascii="Calibri" w:eastAsia="Calibri" w:hAnsi="Calibri" w:cs="Calibri"/>
                <w:b w:val="0"/>
                <w:bCs w:val="0"/>
                <w:color w:val="000000"/>
                <w:sz w:val="22"/>
                <w:szCs w:val="22"/>
                <w:rtl w:val="0"/>
              </w:rPr>
              <w:t>Unit 2 Alcohol, Tobacco, and other Drugs</w:t>
            </w:r>
          </w:p>
        </w:tc>
        <w:tc>
          <w:tcPr>
            <w:gridSpan w:val="3"/>
          </w:tcPr>
          <w:p w:rsidR="00000000" w:rsidRPr="00000000" w:rsidP="00000000" w14:paraId="000000C5">
            <w:pPr>
              <w:pageBreakBefore w:val="0"/>
              <w:pBdr>
                <w:top w:val="nil"/>
                <w:left w:val="nil"/>
                <w:bottom w:val="nil"/>
                <w:right w:val="nil"/>
                <w:between w:val="nil"/>
              </w:pBdr>
              <w:shd w:val="clear" w:color="auto" w:fill="auto"/>
              <w:spacing w:before="0" w:after="200" w:line="276" w:lineRule="auto"/>
              <w:rPr>
                <w:rFonts w:ascii="Calibri" w:eastAsia="Calibri" w:hAnsi="Calibri" w:cs="Calibri"/>
                <w:b w:val="0"/>
                <w:bCs w:val="0"/>
                <w:color w:val="000000"/>
                <w:sz w:val="22"/>
                <w:szCs w:val="22"/>
              </w:rPr>
            </w:pPr>
            <w:r w:rsidRPr="00000000">
              <w:rPr>
                <w:rFonts w:ascii="Calibri" w:eastAsia="Calibri" w:hAnsi="Calibri" w:cs="Calibri"/>
                <w:b w:val="0"/>
                <w:bCs w:val="0"/>
                <w:color w:val="000000"/>
                <w:sz w:val="22"/>
                <w:szCs w:val="22"/>
                <w:rtl w:val="0"/>
              </w:rPr>
              <w:t xml:space="preserve">Kindergarten Health Lessons </w:t>
            </w:r>
          </w:p>
          <w:p w:rsidR="00000000" w:rsidRPr="00000000" w:rsidP="00000000" w14:paraId="000000C6">
            <w:pPr>
              <w:pageBreakBefore w:val="0"/>
              <w:pBdr>
                <w:top w:val="nil"/>
                <w:left w:val="nil"/>
                <w:bottom w:val="nil"/>
                <w:right w:val="nil"/>
                <w:between w:val="nil"/>
              </w:pBdr>
              <w:shd w:val="clear" w:color="auto" w:fill="auto"/>
              <w:spacing w:before="0" w:after="200" w:line="276" w:lineRule="auto"/>
              <w:rPr>
                <w:rFonts w:ascii="Calibri" w:eastAsia="Calibri" w:hAnsi="Calibri" w:cs="Calibri"/>
                <w:b w:val="0"/>
                <w:bCs w:val="0"/>
                <w:color w:val="000000"/>
                <w:sz w:val="22"/>
                <w:szCs w:val="22"/>
              </w:rPr>
            </w:pPr>
            <w:r w:rsidRPr="00000000">
              <w:rPr>
                <w:rFonts w:ascii="Calibri" w:eastAsia="Calibri" w:hAnsi="Calibri" w:cs="Calibri"/>
                <w:b w:val="0"/>
                <w:bCs w:val="0"/>
                <w:color w:val="000000"/>
                <w:sz w:val="22"/>
                <w:szCs w:val="22"/>
                <w:rtl w:val="0"/>
              </w:rPr>
              <w:t xml:space="preserve">First Grade Health Lessons </w:t>
            </w:r>
          </w:p>
        </w:tc>
      </w:tr>
      <w:tr>
        <w:tblPrEx>
          <w:tblW w:w="13200" w:type="dxa"/>
          <w:tblInd w:w="-230" w:type="dxa"/>
          <w:tblLayout w:type="fixed"/>
          <w:tblLook w:val="0400"/>
        </w:tblPrEx>
        <w:trPr>
          <w:cantSplit w:val="0"/>
          <w:trHeight w:val="220"/>
          <w:tblHeader w:val="0"/>
        </w:trPr>
        <w:tc>
          <w:tcPr>
            <w:gridSpan w:val="7"/>
          </w:tcPr>
          <w:p w:rsidR="00000000" w:rsidRPr="00000000" w:rsidP="00000000" w14:paraId="000000C9">
            <w:pPr>
              <w:spacing w:after="200" w:line="276" w:lineRule="auto"/>
            </w:pPr>
            <w:r w:rsidRPr="00000000">
              <w:rPr>
                <w:b/>
                <w:bCs/>
                <w:u w:val="single"/>
                <w:rtl w:val="0"/>
              </w:rPr>
              <w:t>Career Readiness, Life Literacies, and Key Skills</w:t>
            </w:r>
          </w:p>
          <w:p w:rsidR="00000000" w:rsidRPr="00000000" w:rsidP="00000000" w14:paraId="000000CA">
            <w:pPr>
              <w:spacing w:after="200" w:line="276" w:lineRule="auto"/>
            </w:pPr>
            <w:r w:rsidRPr="00000000">
              <w:rPr>
                <w:rtl w:val="0"/>
              </w:rPr>
              <w:t xml:space="preserve">9.4.2.CI.1: Demonstrate openness to new ideas and perspectives (e.g., 1.1.2.CR1a, 2.1.2.EH.1, 6.1.2.CivicsCM.2) </w:t>
            </w:r>
          </w:p>
          <w:p w:rsidR="00000000" w:rsidRPr="00000000" w:rsidP="00000000" w14:paraId="000000CB">
            <w:pPr>
              <w:spacing w:after="200" w:line="276" w:lineRule="auto"/>
            </w:pPr>
            <w:r w:rsidRPr="00000000">
              <w:rPr>
                <w:rtl w:val="0"/>
              </w:rPr>
              <w:t xml:space="preserve">9.4.2.CT.3: Use a variety of types of thinking to solve problems (e.g., inductive, deductive). </w:t>
            </w:r>
          </w:p>
          <w:p w:rsidR="00000000" w:rsidRPr="00000000" w:rsidP="00000000" w14:paraId="000000CC">
            <w:pPr>
              <w:spacing w:after="200" w:line="276" w:lineRule="auto"/>
            </w:pPr>
            <w:r w:rsidRPr="00000000">
              <w:rPr>
                <w:rtl w:val="0"/>
              </w:rPr>
              <w:t xml:space="preserve">9.4.2.IML.3: Use a variety of sources including multimedia sources to find information about topics such as climate change, with guidance and support from adults (e.g., 6.3.2.GeoGI.2, 6.1.2.HistorySE.3, W.2.6, 1-LSI-2). </w:t>
            </w:r>
          </w:p>
        </w:tc>
      </w:tr>
      <w:tr>
        <w:tblPrEx>
          <w:tblW w:w="13200" w:type="dxa"/>
          <w:tblInd w:w="-230" w:type="dxa"/>
          <w:tblLayout w:type="fixed"/>
          <w:tblLook w:val="0400"/>
        </w:tblPrEx>
        <w:trPr>
          <w:cantSplit w:val="0"/>
          <w:trHeight w:val="220"/>
          <w:tblHeader w:val="0"/>
        </w:trPr>
        <w:tc>
          <w:tcPr>
            <w:gridSpan w:val="7"/>
          </w:tcPr>
          <w:p w:rsidR="00000000" w:rsidRPr="00000000" w:rsidP="00000000" w14:paraId="000000D3">
            <w:pPr>
              <w:pageBreakBefore w:val="0"/>
              <w:pBdr>
                <w:top w:val="nil"/>
                <w:left w:val="nil"/>
                <w:bottom w:val="nil"/>
                <w:right w:val="nil"/>
                <w:between w:val="nil"/>
              </w:pBdr>
              <w:shd w:val="clear" w:color="auto" w:fill="auto"/>
              <w:spacing w:before="0" w:after="200" w:line="276" w:lineRule="auto"/>
              <w:rPr>
                <w:rFonts w:ascii="Calibri" w:eastAsia="Calibri" w:hAnsi="Calibri" w:cs="Calibri"/>
                <w:b w:val="0"/>
                <w:bCs w:val="0"/>
                <w:color w:val="000000"/>
                <w:sz w:val="22"/>
                <w:szCs w:val="22"/>
              </w:rPr>
            </w:pPr>
            <w:r w:rsidRPr="00000000">
              <w:rPr>
                <w:rFonts w:ascii="Calibri" w:eastAsia="Calibri" w:hAnsi="Calibri" w:cs="Calibri"/>
                <w:b/>
                <w:bCs/>
                <w:color w:val="000000"/>
                <w:sz w:val="22"/>
                <w:szCs w:val="22"/>
                <w:u w:val="single"/>
                <w:rtl w:val="0"/>
              </w:rPr>
              <w:t>Key resources:</w:t>
            </w:r>
            <w:r w:rsidRPr="00000000">
              <w:rPr>
                <w:rFonts w:ascii="Calibri" w:eastAsia="Calibri" w:hAnsi="Calibri" w:cs="Calibri"/>
                <w:b w:val="0"/>
                <w:bCs w:val="0"/>
                <w:color w:val="000000"/>
                <w:sz w:val="22"/>
                <w:szCs w:val="22"/>
                <w:rtl w:val="0"/>
              </w:rPr>
              <w:t xml:space="preserve">  What are the resources that are essential for this unit (may also be listed in “Activities/Strategies”)?</w:t>
            </w:r>
          </w:p>
          <w:p w:rsidR="00000000" w:rsidRPr="00000000" w:rsidP="00000000" w14:paraId="000000D4">
            <w:pPr>
              <w:pageBreakBefore w:val="0"/>
              <w:pBdr>
                <w:top w:val="nil"/>
                <w:left w:val="nil"/>
                <w:bottom w:val="nil"/>
                <w:right w:val="nil"/>
                <w:between w:val="nil"/>
              </w:pBdr>
              <w:shd w:val="clear" w:color="auto" w:fill="auto"/>
              <w:spacing w:before="0" w:after="200" w:line="276" w:lineRule="auto"/>
              <w:rPr>
                <w:rFonts w:ascii="Calibri" w:eastAsia="Calibri" w:hAnsi="Calibri" w:cs="Calibri"/>
                <w:b w:val="0"/>
                <w:bCs w:val="0"/>
                <w:color w:val="000000"/>
                <w:sz w:val="22"/>
                <w:szCs w:val="22"/>
              </w:rPr>
            </w:pPr>
            <w:hyperlink r:id="rId4">
              <w:r w:rsidRPr="00000000">
                <w:rPr>
                  <w:rFonts w:ascii="Calibri" w:eastAsia="Calibri" w:hAnsi="Calibri" w:cs="Calibri"/>
                  <w:b w:val="0"/>
                  <w:bCs w:val="0"/>
                  <w:color w:val="1155CC"/>
                  <w:sz w:val="22"/>
                  <w:szCs w:val="22"/>
                  <w:u w:val="single"/>
                  <w:rtl w:val="0"/>
                </w:rPr>
                <w:t>http://www.atozteacherstuff.com/Lesson_Plans/Health/_Grades_K-2/index.shtml</w:t>
              </w:r>
            </w:hyperlink>
            <w:r w:rsidRPr="00000000">
              <w:fldChar w:fldCharType="begin"/>
            </w:r>
            <w:r w:rsidRPr="00000000">
              <w:instrText xml:space="preserve"> HYPERLINK "http://www.atozteacherstuff.com/Lesson_Plans/Health/_Grades_K-2/index.shtml" </w:instrText>
            </w:r>
            <w:r w:rsidRPr="00000000">
              <w:fldChar w:fldCharType="separate"/>
            </w:r>
          </w:p>
          <w:p w:rsidR="00000000" w:rsidRPr="00000000" w:rsidP="00000000" w14:paraId="000000D5">
            <w:pPr>
              <w:pageBreakBefore w:val="0"/>
              <w:pBdr>
                <w:top w:val="nil"/>
                <w:left w:val="nil"/>
                <w:bottom w:val="nil"/>
                <w:right w:val="nil"/>
                <w:between w:val="nil"/>
              </w:pBdr>
              <w:shd w:val="clear" w:color="auto" w:fill="auto"/>
              <w:spacing w:before="0" w:after="200" w:line="276" w:lineRule="auto"/>
              <w:rPr>
                <w:rFonts w:ascii="Calibri" w:eastAsia="Calibri" w:hAnsi="Calibri" w:cs="Calibri"/>
                <w:b w:val="0"/>
                <w:bCs w:val="0"/>
                <w:color w:val="000000"/>
                <w:sz w:val="22"/>
                <w:szCs w:val="22"/>
              </w:rPr>
            </w:pPr>
            <w:r w:rsidRPr="00000000">
              <w:fldChar w:fldCharType="end"/>
            </w:r>
            <w:hyperlink r:id="rId5">
              <w:r w:rsidRPr="00000000">
                <w:rPr>
                  <w:rFonts w:ascii="Calibri" w:eastAsia="Calibri" w:hAnsi="Calibri" w:cs="Calibri"/>
                  <w:b w:val="0"/>
                  <w:bCs w:val="0"/>
                  <w:color w:val="1155CC"/>
                  <w:sz w:val="22"/>
                  <w:szCs w:val="22"/>
                  <w:u w:val="single"/>
                  <w:rtl w:val="0"/>
                </w:rPr>
                <w:t>https://www.teachervision.com/health/teacher-resources/43745.html</w:t>
              </w:r>
            </w:hyperlink>
            <w:r w:rsidRPr="00000000">
              <w:fldChar w:fldCharType="begin"/>
            </w:r>
            <w:r w:rsidRPr="00000000">
              <w:instrText xml:space="preserve"> HYPERLINK "https://www.teachervision.com/health/teacher-resources/43745.html" </w:instrText>
            </w:r>
            <w:r w:rsidRPr="00000000">
              <w:fldChar w:fldCharType="separate"/>
            </w:r>
          </w:p>
          <w:p w:rsidR="00000000" w:rsidRPr="00000000" w:rsidP="00000000" w14:paraId="000000D6">
            <w:pPr>
              <w:pageBreakBefore w:val="0"/>
              <w:pBdr>
                <w:top w:val="nil"/>
                <w:left w:val="nil"/>
                <w:bottom w:val="nil"/>
                <w:right w:val="nil"/>
                <w:between w:val="nil"/>
              </w:pBdr>
              <w:shd w:val="clear" w:color="auto" w:fill="auto"/>
              <w:spacing w:before="0" w:after="200" w:line="276" w:lineRule="auto"/>
              <w:rPr>
                <w:rFonts w:ascii="Calibri" w:eastAsia="Calibri" w:hAnsi="Calibri" w:cs="Calibri"/>
                <w:b w:val="0"/>
                <w:bCs w:val="0"/>
                <w:color w:val="000000"/>
                <w:sz w:val="22"/>
                <w:szCs w:val="22"/>
              </w:rPr>
            </w:pPr>
            <w:r w:rsidRPr="00000000">
              <w:fldChar w:fldCharType="end"/>
            </w:r>
            <w:hyperlink r:id="rId6">
              <w:r w:rsidRPr="00000000">
                <w:rPr>
                  <w:rFonts w:ascii="Calibri" w:eastAsia="Calibri" w:hAnsi="Calibri" w:cs="Calibri"/>
                  <w:b w:val="0"/>
                  <w:bCs w:val="0"/>
                  <w:color w:val="1155CC"/>
                  <w:sz w:val="22"/>
                  <w:szCs w:val="22"/>
                  <w:u w:val="single"/>
                  <w:rtl w:val="0"/>
                </w:rPr>
                <w:t>https://classroom.kidshealth.org/index.jsp?Grade=pk&amp;Section=body</w:t>
              </w:r>
            </w:hyperlink>
            <w:hyperlink r:id="rId7" w:history="1"/>
          </w:p>
        </w:tc>
      </w:tr>
      <w:tr>
        <w:tblPrEx>
          <w:tblW w:w="13200" w:type="dxa"/>
          <w:tblInd w:w="-230" w:type="dxa"/>
          <w:tblLayout w:type="fixed"/>
          <w:tblLook w:val="0400"/>
        </w:tblPrEx>
        <w:trPr>
          <w:cantSplit w:val="0"/>
          <w:trHeight w:val="220"/>
          <w:tblHeader w:val="0"/>
        </w:trPr>
        <w:tc>
          <w:tcPr>
            <w:gridSpan w:val="7"/>
          </w:tcPr>
          <w:p w:rsidR="00000000" w:rsidRPr="00000000" w:rsidP="00000000" w14:paraId="000000E4">
            <w:pPr>
              <w:pageBreakBefore w:val="0"/>
              <w:pBdr>
                <w:top w:val="nil"/>
                <w:left w:val="nil"/>
                <w:bottom w:val="nil"/>
                <w:right w:val="nil"/>
                <w:between w:val="nil"/>
              </w:pBdr>
              <w:shd w:val="clear" w:color="auto" w:fill="auto"/>
              <w:spacing w:before="0" w:after="200" w:line="276" w:lineRule="auto"/>
              <w:rPr>
                <w:rFonts w:ascii="Calibri" w:eastAsia="Calibri" w:hAnsi="Calibri" w:cs="Calibri"/>
                <w:b/>
                <w:bCs/>
                <w:color w:val="000000"/>
                <w:sz w:val="22"/>
                <w:szCs w:val="22"/>
                <w:u w:val="single"/>
              </w:rPr>
            </w:pPr>
            <w:r w:rsidRPr="00000000">
              <w:rPr>
                <w:rFonts w:ascii="Calibri" w:eastAsia="Calibri" w:hAnsi="Calibri" w:cs="Calibri"/>
                <w:b/>
                <w:bCs/>
                <w:color w:val="000000"/>
                <w:sz w:val="22"/>
                <w:szCs w:val="22"/>
                <w:u w:val="single"/>
                <w:rtl w:val="0"/>
              </w:rPr>
              <w:t>Interdisciplinary Connections</w:t>
            </w:r>
          </w:p>
          <w:p w:rsidR="00000000" w:rsidRPr="00000000" w:rsidP="00000000" w14:paraId="000000E5">
            <w:pPr>
              <w:rPr>
                <w:b/>
                <w:bCs/>
                <w:u w:val="single"/>
              </w:rPr>
            </w:pPr>
            <w:r w:rsidRPr="00000000">
              <w:rPr>
                <w:b/>
                <w:bCs/>
                <w:u w:val="single"/>
                <w:rtl w:val="0"/>
              </w:rPr>
              <w:t>Science</w:t>
            </w:r>
          </w:p>
          <w:p w:rsidR="00000000" w:rsidRPr="00000000" w:rsidP="00000000" w14:paraId="000000E6">
            <w:r w:rsidRPr="00000000">
              <w:rPr>
                <w:rtl w:val="0"/>
              </w:rPr>
              <w:t xml:space="preserve">K-LS1-1. Use observations to describe patterns of what plants and animals (including humans) need to survive. </w:t>
            </w:r>
          </w:p>
          <w:p w:rsidR="00000000" w:rsidRPr="00000000" w:rsidP="00000000" w14:paraId="000000E7">
            <w:r w:rsidRPr="00000000">
              <w:rPr>
                <w:rtl w:val="0"/>
              </w:rPr>
              <w:t>K-ESS3-3. Communicate solutions that will reduce the impact of humans on the land, water, air, and/or other living things in the local environment.</w:t>
            </w:r>
          </w:p>
          <w:p w:rsidR="00000000" w:rsidRPr="00000000" w:rsidP="00000000" w14:paraId="000000E8">
            <w:pPr>
              <w:numPr>
                <w:ilvl w:val="0"/>
                <w:numId w:val="10"/>
              </w:numPr>
              <w:ind w:left="720" w:hanging="360"/>
            </w:pPr>
            <w:r w:rsidRPr="00000000">
              <w:rPr>
                <w:rtl w:val="0"/>
              </w:rPr>
              <w:t>Connections to health processes associated with physiology and anatomy</w:t>
            </w:r>
          </w:p>
          <w:p w:rsidR="00000000" w:rsidRPr="00000000" w:rsidP="00000000" w14:paraId="000000E9">
            <w:pPr>
              <w:numPr>
                <w:ilvl w:val="0"/>
                <w:numId w:val="10"/>
              </w:numPr>
              <w:ind w:left="720" w:hanging="360"/>
            </w:pPr>
            <w:r w:rsidRPr="00000000">
              <w:rPr>
                <w:rtl w:val="0"/>
              </w:rPr>
              <w:t>Basic understanding of communicability of diseases in discussion of wellness</w:t>
            </w:r>
          </w:p>
          <w:p w:rsidR="00000000" w:rsidRPr="00000000" w:rsidP="00000000" w14:paraId="000000EA">
            <w:pPr>
              <w:rPr>
                <w:b/>
                <w:bCs/>
              </w:rPr>
            </w:pPr>
          </w:p>
          <w:p w:rsidR="00000000" w:rsidRPr="00000000" w:rsidP="00000000" w14:paraId="000000EB"/>
          <w:p w:rsidR="00000000" w:rsidRPr="00000000" w:rsidP="00000000" w14:paraId="000000EC">
            <w:pPr>
              <w:rPr>
                <w:b/>
                <w:bCs/>
                <w:u w:val="single"/>
              </w:rPr>
            </w:pPr>
            <w:r w:rsidRPr="00000000">
              <w:rPr>
                <w:b/>
                <w:bCs/>
                <w:u w:val="single"/>
                <w:rtl w:val="0"/>
              </w:rPr>
              <w:t>ELA</w:t>
            </w:r>
          </w:p>
          <w:p w:rsidR="00000000" w:rsidRPr="00000000" w:rsidP="00000000" w14:paraId="000000ED">
            <w:r w:rsidRPr="00000000">
              <w:rPr>
                <w:rtl w:val="0"/>
              </w:rPr>
              <w:t>NJSLSA.R1. Read closely to determine what the text says explicitly and to make logical inferences and relevant connections from it; cite specific textual evidence when writing or speaking to support conclusions drawn from the text.</w:t>
            </w:r>
          </w:p>
          <w:p w:rsidR="00000000" w:rsidRPr="00000000" w:rsidP="00000000" w14:paraId="000000EE">
            <w:pPr>
              <w:shd w:val="clear" w:color="auto" w:fill="FFFFFF"/>
              <w:spacing w:after="240"/>
            </w:pPr>
            <w:r w:rsidRPr="00000000">
              <w:rPr>
                <w:rFonts w:ascii="Roboto" w:eastAsia="Roboto" w:hAnsi="Roboto" w:cs="Roboto"/>
                <w:color w:val="212529"/>
                <w:sz w:val="24"/>
                <w:szCs w:val="24"/>
                <w:rtl w:val="0"/>
              </w:rPr>
              <w:t>RI.CR.1.1. Ask and answer questions about key details in an informational text (e.g., who, what, where, when, why, how).</w:t>
            </w:r>
          </w:p>
          <w:p w:rsidR="00000000" w:rsidRPr="00000000" w:rsidP="00000000" w14:paraId="000000EF">
            <w:pPr>
              <w:rPr>
                <w:rFonts w:ascii="Roboto" w:eastAsia="Roboto" w:hAnsi="Roboto" w:cs="Roboto"/>
                <w:color w:val="212529"/>
                <w:sz w:val="24"/>
                <w:szCs w:val="24"/>
                <w:highlight w:val="white"/>
              </w:rPr>
            </w:pPr>
            <w:r w:rsidRPr="00000000">
              <w:rPr>
                <w:rFonts w:ascii="Roboto" w:eastAsia="Roboto" w:hAnsi="Roboto" w:cs="Roboto"/>
                <w:color w:val="212529"/>
                <w:sz w:val="24"/>
                <w:szCs w:val="24"/>
                <w:highlight w:val="white"/>
                <w:rtl w:val="0"/>
              </w:rPr>
              <w:t xml:space="preserve">RI.TS.3.4. Utilize and reference features of a text when writing or speaking about a text, using text features (e.g., graphics, images, captions, headings) and search tools (e.g., key words, sidebars, hyperlinks) to locate and integrate information relevant to a given topic efficiently. </w:t>
            </w:r>
          </w:p>
          <w:p w:rsidR="00000000" w:rsidRPr="00000000" w:rsidP="00000000" w14:paraId="000000F0">
            <w:pPr>
              <w:rPr>
                <w:rFonts w:ascii="Roboto" w:eastAsia="Roboto" w:hAnsi="Roboto" w:cs="Roboto"/>
                <w:color w:val="212529"/>
                <w:sz w:val="24"/>
                <w:szCs w:val="24"/>
                <w:highlight w:val="white"/>
              </w:rPr>
            </w:pPr>
            <w:r w:rsidRPr="00000000">
              <w:rPr>
                <w:rFonts w:ascii="Roboto" w:eastAsia="Roboto" w:hAnsi="Roboto" w:cs="Roboto"/>
                <w:color w:val="212529"/>
                <w:sz w:val="24"/>
                <w:szCs w:val="24"/>
                <w:highlight w:val="white"/>
                <w:rtl w:val="0"/>
              </w:rPr>
              <w:t xml:space="preserve">RI.MF.2.6. Explain how specific illustrations and images (e.g., a diagram showing how a machine works) contribute to and clarify a text. </w:t>
            </w:r>
          </w:p>
          <w:p w:rsidR="00000000" w:rsidRPr="00000000" w:rsidP="00000000" w14:paraId="000000F1">
            <w:pPr>
              <w:shd w:val="clear" w:color="auto" w:fill="FFFFFF"/>
              <w:spacing w:after="240"/>
              <w:rPr>
                <w:b/>
                <w:bCs/>
              </w:rPr>
            </w:pPr>
            <w:r w:rsidRPr="00000000">
              <w:rPr>
                <w:rFonts w:ascii="Roboto" w:eastAsia="Roboto" w:hAnsi="Roboto" w:cs="Roboto"/>
                <w:color w:val="212529"/>
                <w:sz w:val="24"/>
                <w:szCs w:val="24"/>
                <w:rtl w:val="0"/>
              </w:rPr>
              <w:t>W.RW.2.7. Engage in both collaborative and independent writing tasks regularly, including extended and shorter time frames.</w:t>
            </w:r>
          </w:p>
          <w:p w:rsidR="00000000" w:rsidRPr="00000000" w:rsidP="00000000" w14:paraId="000000F2">
            <w:pPr>
              <w:ind w:left="720" w:firstLine="0"/>
              <w:rPr>
                <w:b/>
                <w:bCs/>
              </w:rPr>
            </w:pPr>
          </w:p>
          <w:p w:rsidR="00000000" w:rsidRPr="00000000" w:rsidP="00000000" w14:paraId="000000F3">
            <w:pPr>
              <w:rPr>
                <w:b/>
                <w:bCs/>
                <w:u w:val="single"/>
              </w:rPr>
            </w:pPr>
            <w:r w:rsidRPr="00000000">
              <w:rPr>
                <w:b/>
                <w:bCs/>
                <w:u w:val="single"/>
                <w:rtl w:val="0"/>
              </w:rPr>
              <w:t>Math</w:t>
            </w:r>
          </w:p>
          <w:p w:rsidR="00000000" w:rsidRPr="00000000" w:rsidP="00000000" w14:paraId="000000F4">
            <w:r w:rsidRPr="00000000">
              <w:rPr>
                <w:b/>
                <w:bCs/>
                <w:rtl w:val="0"/>
              </w:rPr>
              <w:t>NJSLAM-2.OA: Represent and solve problems involving addition and subtraction.</w:t>
            </w:r>
          </w:p>
          <w:p w:rsidR="00000000" w:rsidRPr="00000000" w:rsidP="00000000" w14:paraId="000000F5">
            <w:pPr>
              <w:pStyle w:val="Heading4"/>
              <w:keepNext w:val="0"/>
              <w:keepLines w:val="0"/>
              <w:numPr>
                <w:ilvl w:val="0"/>
                <w:numId w:val="1"/>
              </w:numPr>
              <w:shd w:val="clear" w:color="auto" w:fill="FFFFFF"/>
              <w:spacing w:before="0" w:line="360" w:lineRule="auto"/>
              <w:ind w:left="720" w:hanging="360"/>
              <w:rPr>
                <w:b/>
                <w:bCs/>
                <w:sz w:val="24"/>
                <w:szCs w:val="24"/>
              </w:rPr>
            </w:pPr>
            <w:bookmarkStart w:id="0" w:name="_oidq2dt7ngr5" w:colFirst="0" w:colLast="0"/>
            <w:bookmarkEnd w:id="0"/>
            <w:r w:rsidRPr="00000000">
              <w:rPr>
                <w:rFonts w:ascii="Roboto" w:eastAsia="Roboto" w:hAnsi="Roboto" w:cs="Roboto"/>
                <w:b w:val="0"/>
                <w:bCs w:val="0"/>
                <w:sz w:val="22"/>
                <w:szCs w:val="22"/>
                <w:rtl w:val="0"/>
              </w:rPr>
              <w:t>A. Represent and solve problems involving addition and subtraction</w:t>
            </w:r>
          </w:p>
          <w:p w:rsidR="00000000" w:rsidRPr="00000000" w:rsidP="00000000" w14:paraId="000000F6">
            <w:pPr>
              <w:pageBreakBefore w:val="0"/>
              <w:pBdr>
                <w:top w:val="nil"/>
                <w:left w:val="nil"/>
                <w:bottom w:val="nil"/>
                <w:right w:val="nil"/>
                <w:between w:val="nil"/>
              </w:pBdr>
              <w:shd w:val="clear" w:color="auto" w:fill="auto"/>
              <w:spacing w:before="0" w:after="200" w:line="276" w:lineRule="auto"/>
              <w:rPr>
                <w:rFonts w:ascii="Calibri" w:eastAsia="Calibri" w:hAnsi="Calibri" w:cs="Calibri"/>
                <w:b/>
                <w:bCs/>
                <w:color w:val="000000"/>
                <w:sz w:val="22"/>
                <w:szCs w:val="22"/>
                <w:u w:val="single"/>
              </w:rPr>
            </w:pPr>
          </w:p>
        </w:tc>
      </w:tr>
    </w:tbl>
    <w:p w:rsidR="00000000" w:rsidRPr="00000000" w:rsidP="00000000" w14:paraId="000000FD">
      <w:pPr>
        <w:pageBreakBefore w:val="0"/>
        <w:pBdr>
          <w:top w:val="nil"/>
          <w:left w:val="nil"/>
          <w:bottom w:val="nil"/>
          <w:right w:val="nil"/>
          <w:between w:val="nil"/>
        </w:pBdr>
        <w:shd w:val="clear" w:color="auto" w:fill="auto"/>
        <w:tabs>
          <w:tab w:val="center" w:pos="4680"/>
          <w:tab w:val="right" w:pos="9360"/>
        </w:tabs>
        <w:spacing w:before="0" w:after="0" w:line="240" w:lineRule="auto"/>
        <w:jc w:val="center"/>
        <w:rPr>
          <w:rFonts w:ascii="Calibri" w:eastAsia="Calibri" w:hAnsi="Calibri" w:cs="Calibri"/>
          <w:b w:val="0"/>
          <w:bCs w:val="0"/>
          <w:color w:val="000000"/>
          <w:sz w:val="22"/>
          <w:szCs w:val="22"/>
        </w:rPr>
      </w:pPr>
    </w:p>
    <w:p w:rsidR="00000000" w:rsidRPr="00000000" w:rsidP="00000000" w14:paraId="000000FE">
      <w:pPr>
        <w:pageBreakBefore w:val="0"/>
        <w:pBdr>
          <w:top w:val="nil"/>
          <w:left w:val="nil"/>
          <w:bottom w:val="nil"/>
          <w:right w:val="nil"/>
          <w:between w:val="nil"/>
        </w:pBdr>
        <w:shd w:val="clear" w:color="auto" w:fill="auto"/>
        <w:tabs>
          <w:tab w:val="center" w:pos="4680"/>
          <w:tab w:val="right" w:pos="9360"/>
        </w:tabs>
        <w:spacing w:before="0" w:after="0" w:line="240" w:lineRule="auto"/>
        <w:jc w:val="center"/>
        <w:rPr>
          <w:rFonts w:ascii="Calibri" w:eastAsia="Calibri" w:hAnsi="Calibri" w:cs="Calibri"/>
          <w:b w:val="0"/>
          <w:bCs w:val="0"/>
          <w:color w:val="000000"/>
          <w:sz w:val="22"/>
          <w:szCs w:val="22"/>
        </w:rPr>
      </w:pPr>
      <w:bookmarkStart w:id="1" w:name="_30j0zll" w:colFirst="0" w:colLast="0"/>
      <w:bookmarkEnd w:id="1"/>
      <w:hyperlink w:history="1"/>
    </w:p>
    <w:sectPr>
      <w:headerReference w:type="default" r:id="rId8"/>
      <w:footerReference w:type="default" r:id="rId9"/>
      <w:pgSz w:w="15840" w:h="12240" w:orient="landscape"/>
      <w:pgMar w:top="1440" w:right="1440" w:bottom="1440" w:left="1440" w:header="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Georgia">
    <w:charset w:val="00"/>
    <w:family w:val="auto"/>
    <w:pitch w:val="default"/>
  </w:font>
  <w:font w:name="Arial">
    <w:charset w:val="00"/>
    <w:family w:val="auto"/>
    <w:pitch w:val="default"/>
  </w:font>
  <w:font w:name="Roboto">
    <w:charset w:val="00"/>
    <w:family w:val="auto"/>
    <w:pitch w:val="default"/>
    <w:sig w:usb0="00000000" w:usb1="00000000" w:usb2="00000000" w:usb3="00000000" w:csb0="00000001" w:csb1="00000000"/>
    <w:embedRegular r:id="rId1" w:fontKey="{A4387C48-977F-49CA-9988-55AAE033D649}"/>
  </w:font>
  <w:font w:name="Cambria">
    <w:charset w:val="00"/>
    <w:family w:val="auto"/>
    <w:pitch w:val="default"/>
  </w:font>
  <w:font w:name="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103">
    <w:pPr>
      <w:tabs>
        <w:tab w:val="center" w:pos="4680"/>
        <w:tab w:val="right" w:pos="9360"/>
      </w:tabs>
      <w:spacing w:after="1296" w:line="240" w:lineRule="auto"/>
    </w:pPr>
    <w:r w:rsidRPr="00000000">
      <w:rPr>
        <w:i/>
        <w:iCs/>
        <w:rtl w:val="0"/>
      </w:rPr>
      <w:t>BOE Approved September 2022</w:t>
    </w:r>
    <w:hyperlink w:history="1"/>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100">
    <w:pPr>
      <w:pageBreakBefore w:val="0"/>
      <w:pBdr>
        <w:top w:val="nil"/>
        <w:left w:val="nil"/>
        <w:bottom w:val="nil"/>
        <w:right w:val="nil"/>
        <w:between w:val="nil"/>
      </w:pBdr>
      <w:shd w:val="clear" w:color="auto" w:fill="auto"/>
      <w:tabs>
        <w:tab w:val="center" w:pos="4680"/>
        <w:tab w:val="right" w:pos="9360"/>
      </w:tabs>
      <w:spacing w:before="720" w:after="0" w:line="240" w:lineRule="auto"/>
      <w:jc w:val="center"/>
    </w:pPr>
    <w:r w:rsidRPr="00000000">
      <w:rPr>
        <w:rFonts w:ascii="Calibri" w:eastAsia="Calibri" w:hAnsi="Calibri" w:cs="Calibri"/>
        <w:b w:val="0"/>
        <w:bCs w:val="0"/>
        <w:color w:val="000000"/>
        <w:sz w:val="22"/>
        <w:szCs w:val="22"/>
      </w:rPr>
      <w:drawing>
        <wp:inline distT="0" distB="0" distL="0" distR="0">
          <wp:extent cx="1132452" cy="31384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
                  <a:stretch>
                    <a:fillRect/>
                  </a:stretch>
                </pic:blipFill>
                <pic:spPr>
                  <a:xfrm>
                    <a:off x="0" y="0"/>
                    <a:ext cx="1132452" cy="313844"/>
                  </a:xfrm>
                  <a:prstGeom prst="rect">
                    <a:avLst/>
                  </a:prstGeom>
                </pic:spPr>
              </pic:pic>
            </a:graphicData>
          </a:graphic>
        </wp:inline>
      </w:drawing>
    </w:r>
    <w:r w:rsidRPr="00000000">
      <w:fldChar w:fldCharType="begin"/>
    </w:r>
    <w:r w:rsidRPr="00000000">
      <w:instrText xml:space="preserve"> HYPERLINK </w:instrText>
    </w:r>
    <w:r w:rsidRPr="00000000">
      <w:instrText>""</w:instrText>
    </w:r>
    <w:r w:rsidRPr="00000000">
      <w:instrText xml:space="preserve"> </w:instrText>
    </w:r>
    <w:r w:rsidRPr="00000000">
      <w:fldChar w:fldCharType="separate"/>
    </w:r>
  </w:p>
  <w:p w:rsidR="00000000" w:rsidRPr="00000000" w:rsidP="00000000" w14:paraId="00000101">
    <w:pPr>
      <w:pageBreakBefore w:val="0"/>
      <w:pBdr>
        <w:top w:val="nil"/>
        <w:left w:val="nil"/>
        <w:bottom w:val="nil"/>
        <w:right w:val="nil"/>
        <w:between w:val="nil"/>
      </w:pBdr>
      <w:shd w:val="clear" w:color="auto" w:fill="auto"/>
      <w:tabs>
        <w:tab w:val="center" w:pos="4680"/>
        <w:tab w:val="right" w:pos="9360"/>
      </w:tabs>
      <w:spacing w:before="0" w:after="0" w:line="240" w:lineRule="auto"/>
    </w:pPr>
    <w:r w:rsidRPr="0000000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68E50A"/>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1D5677E"/>
    <w:multiLevelType w:val="hybridMultilevel"/>
    <w:tmpl w:val="00000000"/>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2">
    <w:nsid w:val="2EE1B5E0"/>
    <w:multiLevelType w:val="hybridMultilevel"/>
    <w:tmpl w:val="00000000"/>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3">
    <w:nsid w:val="51122567"/>
    <w:multiLevelType w:val="hybridMultilevel"/>
    <w:tmpl w:val="00000000"/>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4">
    <w:nsid w:val="52DDDB3C"/>
    <w:multiLevelType w:val="hybridMultilevel"/>
    <w:tmpl w:val="00000000"/>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5">
    <w:nsid w:val="54024EDD"/>
    <w:multiLevelType w:val="hybridMultilevel"/>
    <w:tmpl w:val="00000000"/>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6">
    <w:nsid w:val="663F069B"/>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0894758"/>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86F59E5"/>
    <w:multiLevelType w:val="hybridMultilevel"/>
    <w:tmpl w:val="00000000"/>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9">
    <w:nsid w:val="7BB7A205"/>
    <w:multiLevelType w:val="hybridMultilevel"/>
    <w:tmpl w:val="00000000"/>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num w:numId="1">
    <w:abstractNumId w:val="7"/>
  </w:num>
  <w:num w:numId="2">
    <w:abstractNumId w:val="5"/>
  </w:num>
  <w:num w:numId="3">
    <w:abstractNumId w:val="2"/>
  </w:num>
  <w:num w:numId="4">
    <w:abstractNumId w:val="3"/>
  </w:num>
  <w:num w:numId="5">
    <w:abstractNumId w:val="9"/>
  </w:num>
  <w:num w:numId="6">
    <w:abstractNumId w:val="8"/>
  </w:num>
  <w:num w:numId="7">
    <w:abstractNumId w:val="4"/>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pPr>
      <w:keepNext/>
      <w:keepLines/>
      <w:pageBreakBefore w:val="0"/>
      <w:spacing w:before="480" w:after="120" w:line="276" w:lineRule="auto"/>
      <w:outlineLvl w:val="0"/>
    </w:pPr>
    <w:rPr>
      <w:rFonts w:ascii="Calibri" w:eastAsia="Calibri" w:hAnsi="Calibri" w:cs="Calibri"/>
      <w:b/>
      <w:bCs/>
      <w:color w:val="000000"/>
      <w:sz w:val="48"/>
      <w:szCs w:val="48"/>
    </w:rPr>
  </w:style>
  <w:style w:type="paragraph" w:styleId="Heading2">
    <w:name w:val="heading 2"/>
    <w:basedOn w:val="Normal"/>
    <w:next w:val="Normal"/>
    <w:pPr>
      <w:keepNext/>
      <w:keepLines/>
      <w:pageBreakBefore w:val="0"/>
      <w:spacing w:before="360" w:after="80" w:line="276" w:lineRule="auto"/>
      <w:outlineLvl w:val="1"/>
    </w:pPr>
    <w:rPr>
      <w:rFonts w:ascii="Calibri" w:eastAsia="Calibri" w:hAnsi="Calibri" w:cs="Calibri"/>
      <w:b/>
      <w:bCs/>
      <w:color w:val="000000"/>
      <w:sz w:val="36"/>
      <w:szCs w:val="36"/>
    </w:rPr>
  </w:style>
  <w:style w:type="paragraph" w:styleId="Heading3">
    <w:name w:val="heading 3"/>
    <w:basedOn w:val="Normal"/>
    <w:next w:val="Normal"/>
    <w:pPr>
      <w:keepNext/>
      <w:keepLines/>
      <w:pageBreakBefore w:val="0"/>
      <w:spacing w:before="280" w:after="80" w:line="276" w:lineRule="auto"/>
      <w:outlineLvl w:val="2"/>
    </w:pPr>
    <w:rPr>
      <w:rFonts w:ascii="Calibri" w:eastAsia="Calibri" w:hAnsi="Calibri" w:cs="Calibri"/>
      <w:b/>
      <w:bCs/>
      <w:color w:val="000000"/>
      <w:sz w:val="28"/>
      <w:szCs w:val="28"/>
    </w:rPr>
  </w:style>
  <w:style w:type="paragraph" w:styleId="Heading4">
    <w:name w:val="heading 4"/>
    <w:basedOn w:val="Normal"/>
    <w:next w:val="Normal"/>
    <w:pPr>
      <w:keepNext/>
      <w:keepLines/>
      <w:pageBreakBefore w:val="0"/>
      <w:spacing w:before="240" w:after="40" w:line="276" w:lineRule="auto"/>
      <w:outlineLvl w:val="3"/>
    </w:pPr>
    <w:rPr>
      <w:rFonts w:ascii="Calibri" w:eastAsia="Calibri" w:hAnsi="Calibri" w:cs="Calibri"/>
      <w:b/>
      <w:bCs/>
      <w:color w:val="000000"/>
      <w:sz w:val="24"/>
      <w:szCs w:val="24"/>
    </w:rPr>
  </w:style>
  <w:style w:type="paragraph" w:styleId="Heading5">
    <w:name w:val="heading 5"/>
    <w:basedOn w:val="Normal"/>
    <w:next w:val="Normal"/>
    <w:pPr>
      <w:keepNext/>
      <w:keepLines/>
      <w:pageBreakBefore w:val="0"/>
      <w:spacing w:before="220" w:after="40" w:line="276" w:lineRule="auto"/>
      <w:outlineLvl w:val="4"/>
    </w:pPr>
    <w:rPr>
      <w:rFonts w:ascii="Calibri" w:eastAsia="Calibri" w:hAnsi="Calibri" w:cs="Calibri"/>
      <w:b/>
      <w:bCs/>
      <w:color w:val="000000"/>
      <w:sz w:val="22"/>
      <w:szCs w:val="22"/>
    </w:rPr>
  </w:style>
  <w:style w:type="paragraph" w:styleId="Heading6">
    <w:name w:val="heading 6"/>
    <w:basedOn w:val="Normal"/>
    <w:next w:val="Normal"/>
    <w:pPr>
      <w:keepNext/>
      <w:keepLines/>
      <w:pageBreakBefore w:val="0"/>
      <w:spacing w:before="200" w:after="40" w:line="276" w:lineRule="auto"/>
      <w:outlineLvl w:val="5"/>
    </w:pPr>
    <w:rPr>
      <w:rFonts w:ascii="Calibri" w:eastAsia="Calibri" w:hAnsi="Calibri" w:cs="Calibri"/>
      <w:b/>
      <w:bCs/>
      <w:color w:val="000000"/>
      <w:sz w:val="20"/>
      <w:szCs w:val="20"/>
    </w:rPr>
  </w:style>
  <w:style w:type="character" w:default="1" w:styleId="DefaultParagraphFont">
    <w:name w:val="Default Paragraph Font"/>
    <w:uiPriority w:val="1"/>
    <w:semiHidden/>
    <w:unhideWhenUsed/>
  </w:style>
  <w:style w:type="table" w:customStyle="1" w:styleId="TableNormal">
    <w:name w:val="TableNormal"/>
    <w:tblPr>
      <w:tblCellMar>
        <w:top w:w="100" w:type="dxa"/>
        <w:left w:w="100" w:type="dxa"/>
        <w:bottom w:w="100" w:type="dxa"/>
        <w:right w:w="100" w:type="dxa"/>
      </w:tblCellMar>
    </w:tblPr>
  </w:style>
  <w:style w:type="paragraph" w:default="1" w:styleId="Normal">
    <w:name w:val="Normal"/>
  </w:style>
  <w:style w:type="paragraph" w:styleId="Title">
    <w:name w:val="Title"/>
    <w:basedOn w:val="Normal"/>
    <w:next w:val="Normal"/>
    <w:pPr>
      <w:keepNext/>
      <w:keepLines/>
      <w:pageBreakBefore w:val="0"/>
      <w:spacing w:before="480" w:after="120" w:line="276" w:lineRule="auto"/>
    </w:pPr>
    <w:rPr>
      <w:rFonts w:ascii="Calibri" w:eastAsia="Calibri" w:hAnsi="Calibri" w:cs="Calibri"/>
      <w:b/>
      <w:bCs/>
      <w:color w:val="000000"/>
      <w:sz w:val="72"/>
      <w:szCs w:val="72"/>
    </w:rPr>
  </w:style>
  <w:style w:type="paragraph" w:styleId="Subtitle">
    <w:name w:val="Subtitle"/>
    <w:basedOn w:val="Normal"/>
    <w:next w:val="Normal"/>
    <w:pPr>
      <w:keepNext/>
      <w:keepLines/>
      <w:pageBreakBefore w:val="0"/>
      <w:spacing w:before="360" w:after="80" w:line="276" w:lineRule="auto"/>
    </w:pPr>
    <w:rPr>
      <w:rFonts w:ascii="Georgia" w:eastAsia="Georgia" w:hAnsi="Georgia" w:cs="Georgia"/>
      <w:b w:val="0"/>
      <w:bCs w:val="0"/>
      <w:i/>
      <w:iCs/>
      <w:color w:val="666666"/>
      <w:sz w:val="48"/>
      <w:szCs w:val="48"/>
    </w:rPr>
  </w:style>
  <w:style w:type="table" w:customStyle="1" w:styleId="Table1">
    <w:name w:val="Table1"/>
    <w:basedOn w:val="TableNormal"/>
    <w:pPr>
      <w:spacing w:after="0" w:line="240" w:lineRule="auto"/>
    </w:p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tozteacherstuff.com/Lesson_Plans/Health/_Grades_K-2/index.shtml" TargetMode="External" /><Relationship Id="rId5" Type="http://schemas.openxmlformats.org/officeDocument/2006/relationships/hyperlink" Target="https://www.teachervision.com/health/teacher-resources/43745.html" TargetMode="External" /><Relationship Id="rId6" Type="http://schemas.openxmlformats.org/officeDocument/2006/relationships/hyperlink" Target="https://classroom.kidshealth.org/index.jsp?Grade=pk&amp;Section=body" TargetMode="External" /><Relationship Id="rId7" Type="http://schemas.openxmlformats.org/officeDocument/2006/relationships/hyperlink" Target="https://classroom.kidshealth.org/index.jsp?Grade=pk&amp;Section=body" TargetMode="External" /><Relationship Id="rId8" Type="http://schemas.openxmlformats.org/officeDocument/2006/relationships/header" Target="header1.xml" /><Relationship Id="rId9" Type="http://schemas.openxmlformats.org/officeDocument/2006/relationships/footer" Target="footer1.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