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
        <w:tblW w:w="1317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color w:val="ffffff"/>
                <w:sz w:val="28"/>
                <w:szCs w:val="28"/>
                <w:rtl w:val="0"/>
              </w:rPr>
              <w:t xml:space="preserve">Unit 4: Planning/Saving/Insurance/Investments</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color w:val="ffffff"/>
                <w:rtl w:val="0"/>
              </w:rPr>
              <w:t xml:space="preserve">(4 weeks)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rPr/>
            </w:pPr>
            <w:r w:rsidDel="00000000" w:rsidR="00000000" w:rsidRPr="00000000">
              <w:rPr>
                <w:b w:val="1"/>
                <w:bCs w:val="1"/>
                <w:u w:val="single"/>
                <w:rtl w:val="0"/>
              </w:rPr>
              <w:t xml:space="preserve">Targeted Standards</w:t>
            </w:r>
            <w:r w:rsidDel="00000000" w:rsidR="00000000" w:rsidRPr="00000000">
              <w:rPr>
                <w:rtl w:val="0"/>
              </w:rPr>
              <w:t xml:space="preserve">:</w:t>
            </w:r>
          </w:p>
          <w:p w:rsidR="00000000" w:rsidDel="00000000" w:rsidP="00000000" w:rsidRDefault="00000000" w:rsidRPr="00000000" w14:paraId="0000000A">
            <w:pPr>
              <w:rPr/>
            </w:pPr>
            <w:r w:rsidDel="00000000" w:rsidR="00000000" w:rsidRPr="00000000">
              <w:rPr>
                <w:rtl w:val="0"/>
              </w:rPr>
              <w:t xml:space="preserve">9.1.8.CR.1: Compare and contrast the role of philanthropy, volunteer service, and charities in community development and the quality of life in a variety of cultures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9.1.8.CR.2: Compare various ways to give back through strengths, passions, goals, and other personal factors.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9.1.8.CR.3: Relate the importance of consumer, business, and government responsibility to the economy and personal finance.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9.1.8.CR.4: Examine the implications of legal and ethical behaviors when making financial decisions.</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9.1.8.CDM.1: Compare and contrast the use of credit cards and debit cards for specific purchases and the advantages and disadvantages of using each.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9.1.8.CDM.2: Demonstrate an understanding of the terminology associated with different types of credit (e.g., credit cards, installment loans, mortgages, lines of credit) and compare and calculate the interest rates associated with each.</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9.1.8.CDM.3: Compare and contrast loan management strategies, including interest charges and total principal repayment costs.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9.1.8.CDM.4: Evaluate the application process for different types of loans (e.g., credit card, mortgage, student loans).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9.1.8.CP.1: Compare prices for the same goods or services.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9.1.8.CP.2: Analyze how spending habits affect one’s ability to save.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9.1.8.CP.3: Explain the purpose of a credit score and credit record, the factors and impact of credit scores.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9.1.8.CP.4: Summarize borrower’s credit report rights.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9.1.8.CP.5: Compare the financial products and services available to borrowers relative to their credit worthiness.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9.1.8.EG.1: Explain how taxes affect disposable income and the difference between net and gross income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9.1.8.EG.2: Explain why various sources of income are taxed differently.</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9.1.8.EG.3: Explain the concept and forms of taxation and evaluate how local, state and federal governments use taxes to fund public activities and initiatives.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9.1.8.EG.4: Identify and explain the consequences of breaking federal and/or state employment or financial laws. </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9.1.8.EG.5: Interpret how changing economic and societal needs influence employment trends and future education. </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9.1.8.EG.6: Explain the economic principle of the circular flow of money in different situations regarding buying products or services from a local or national business and buying imported or domestic goods. </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9.1.8.EG.7: Explain the effect of the economy (e.g., inflation, unemployment) on personal income, individual and family security, and consumer decisions. </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9.1.8.EG.8: Analyze the impact of currency rates over a period of time and the impact on trade, employment, and income.</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9.1.8.EG.9: Identify types of consumer fraud, the procedures for reporting fraud, the specific consumer protection laws, and the issues they address.</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9.1.8.FI.1: Identify the factors to consider when selecting various financial service providers. </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9.1.8.FI.2: Determine the most appropriate use of various financial products and services to borrow and access money for making purchases (e.g., ATM, debit cards, credit cards, check books, online/mobile banking). </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9.1.8.FI.3: Evaluate the most appropriate financial institutions to assist with meeting various personal financial needs and goals. </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9.1.8.FI.4: Analyze the interest rates and fees associated with financial products.</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9.1.8.FP.1: Describe the impact of personal values on various financial scenarios. </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9.1.8.FP.2: Evaluate the role of emotions, attitudes, and behavior (rational and irrational) in making financial decisions. </w:t>
            </w:r>
          </w:p>
          <w:p w:rsidR="00000000" w:rsidDel="00000000" w:rsidP="00000000" w:rsidRDefault="00000000" w:rsidRPr="00000000" w14:paraId="00000041">
            <w:pPr>
              <w:rPr/>
            </w:pPr>
            <w:r w:rsidDel="00000000" w:rsidR="00000000" w:rsidRPr="00000000">
              <w:rPr>
                <w:rtl w:val="0"/>
              </w:rPr>
              <w:t xml:space="preserve">9.1.8.FP.3: Explain how self-regulation is important to managing money (e.g., delayed gratification, impulse buying, peer pressure, etc.). </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9.1.8.FP.4: Analyze how familial and cultural values influence savings rates, spending, and other financial decisions. </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9.1.8.FP.5: Determine how spending, investing, and using credit wisely contributes to financial well-being.</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9.1.8.FP.6: Compare and contrast advertising messages to understand what they are trying to accomplish. </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9.1.8.FP.7: Identify the techniques and effects of deceptive advertising.</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9.1.8.PB.1: Predict future expenses or opportunities that should be included in the budget planning process. </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9.1.8.PB.2: Explain how different circumstances can affect one’s personal budget. </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9.1.8.PB.3: Explain how to create a budget that aligns with financial goals. </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9.1.8.PB.4: Construct a simple personal savings and spending plan based on various sources of income and different stages of life (e.g. teenager, young adult, family).</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9.1.8.PB.5: Identify factors that affect one’s goals, including peers, culture, location, and past experiences. </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9.1.8.PB.6: Construct a budget to save for short-term, long term, and charitable goals.</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9.1.8.PB.7: Brainstorm techniques that will help decrease expenses including comparison shopping, negotiating, and day-to-day expense management.</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9.1.8.RM.1: Determine criteria for deciding the amount of insurance protection needed. </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9.1.8.RM.2: Analyze the need for and value of different types of insurance and the impact of deductibles in protecting assets against loss. </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9.1.8.RM.3: Evaluate the need for different types of warranties.</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b w:val="1"/>
                <w:bCs w:val="1"/>
                <w:u w:val="single"/>
              </w:rPr>
            </w:pPr>
            <w:r w:rsidDel="00000000" w:rsidR="00000000" w:rsidRPr="00000000">
              <w:rPr>
                <w:rtl w:val="0"/>
              </w:rPr>
              <w:t xml:space="preserve">9.1.8.RM.4: Explain the purpose of insurance products and the reasons for property product and liability insurance protection</w:t>
            </w: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bCs w:val="1"/>
                <w:sz w:val="20"/>
                <w:szCs w:val="20"/>
                <w:u w:val="single"/>
                <w:rtl w:val="0"/>
              </w:rPr>
              <w:t xml:space="preserve">Rationale and Transfer Goals </w:t>
            </w:r>
            <w:r w:rsidDel="00000000" w:rsidR="00000000" w:rsidRPr="00000000">
              <w:rPr>
                <w:sz w:val="20"/>
                <w:szCs w:val="20"/>
                <w:rtl w:val="0"/>
              </w:rPr>
              <w:t xml:space="preserve">: </w:t>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pPr>
            <w:r w:rsidDel="00000000" w:rsidR="00000000" w:rsidRPr="00000000">
              <w:rPr>
                <w:sz w:val="20"/>
                <w:szCs w:val="20"/>
                <w:rtl w:val="0"/>
              </w:rPr>
              <w:t xml:space="preserve">Students will explore the concept of planning, saving, and investing part of their income to meet financial goals. The students will come away with the idea that saving a portion of their income is a smart financial decision to make in order to prepare for unexpected events and to assist in achieving financial goals. Student will examine the some of the risks that may occur in their lives and how to effectively prepare for such a happenstance by obtaining the appropriate insurance to offset this possibility.  </w:t>
            </w: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Enduring Understandings:</w:t>
            </w: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 should understand that investing and saving builds wealth and assists in meeting short term and long term financial goals. </w:t>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 will understand that an individual should create a  financial plan set into place in order to reach financial goals. </w:t>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 will understand that a certain amount of money should be placed into a savings account to further their financial standing. </w:t>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 will understand that insurance coverage should be evaluated and chosen based upon a plan that works for the individual. </w:t>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Essential Questions</w:t>
            </w:r>
            <w:r w:rsidDel="00000000" w:rsidR="00000000" w:rsidRPr="00000000">
              <w:rPr>
                <w:rtl w:val="0"/>
              </w:rPr>
              <w:t xml:space="preserve">:</w:t>
            </w:r>
          </w:p>
          <w:p w:rsidR="00000000" w:rsidDel="00000000" w:rsidP="00000000" w:rsidRDefault="00000000" w:rsidRPr="00000000" w14:paraId="0000007B">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What is a savings account? </w:t>
            </w:r>
          </w:p>
          <w:p w:rsidR="00000000" w:rsidDel="00000000" w:rsidP="00000000" w:rsidRDefault="00000000" w:rsidRPr="00000000" w14:paraId="0000007C">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What are the benefits of having a financial plan? </w:t>
            </w:r>
          </w:p>
          <w:p w:rsidR="00000000" w:rsidDel="00000000" w:rsidP="00000000" w:rsidRDefault="00000000" w:rsidRPr="00000000" w14:paraId="0000007D">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Should I have a savings account? </w:t>
            </w:r>
          </w:p>
          <w:p w:rsidR="00000000" w:rsidDel="00000000" w:rsidP="00000000" w:rsidRDefault="00000000" w:rsidRPr="00000000" w14:paraId="0000007E">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How much money should I put into a savings account per week/month/year? </w:t>
            </w:r>
          </w:p>
          <w:p w:rsidR="00000000" w:rsidDel="00000000" w:rsidP="00000000" w:rsidRDefault="00000000" w:rsidRPr="00000000" w14:paraId="0000007F">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How much of my annual income should be allotted for investment purposes? </w:t>
            </w:r>
          </w:p>
          <w:p w:rsidR="00000000" w:rsidDel="00000000" w:rsidP="00000000" w:rsidRDefault="00000000" w:rsidRPr="00000000" w14:paraId="00000080">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What is insurance and why do I need to have it? </w:t>
            </w:r>
          </w:p>
          <w:p w:rsidR="00000000" w:rsidDel="00000000" w:rsidP="00000000" w:rsidRDefault="00000000" w:rsidRPr="00000000" w14:paraId="00000081">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How much do different types of insurance cost and which is right for me? </w:t>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color w:val="ffffff"/>
                <w:sz w:val="24"/>
                <w:szCs w:val="24"/>
                <w:rtl w:val="0"/>
              </w:rPr>
              <w:t xml:space="preserve">Content/Objectives</w:t>
            </w:r>
            <w:r w:rsidDel="00000000" w:rsidR="00000000" w:rsidRPr="00000000">
              <w:rPr>
                <w:rtl w:val="0"/>
              </w:rPr>
            </w:r>
          </w:p>
        </w:tc>
        <w:tc>
          <w:tcPr>
            <w:gridSpan w:val="3"/>
            <w:shd w:fill="1f497d" w:val="clear"/>
          </w:tcPr>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color w:val="ffffff"/>
                <w:sz w:val="24"/>
                <w:szCs w:val="24"/>
                <w:rtl w:val="0"/>
              </w:rPr>
              <w:t xml:space="preserve">Instructional Actions</w:t>
            </w: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Content</w:t>
            </w: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rtl w:val="0"/>
              </w:rPr>
              <w:t xml:space="preserve">What students will know</w:t>
            </w:r>
            <w:r w:rsidDel="00000000" w:rsidR="00000000" w:rsidRPr="00000000">
              <w:rPr>
                <w:rtl w:val="0"/>
              </w:rPr>
            </w:r>
          </w:p>
        </w:tc>
        <w:tc>
          <w:tcPr>
            <w:gridSpan w:val="2"/>
          </w:tcPr>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Skills</w:t>
            </w: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rtl w:val="0"/>
              </w:rPr>
              <w:t xml:space="preserve">What students will be able to do</w:t>
            </w:r>
            <w:r w:rsidDel="00000000" w:rsidR="00000000" w:rsidRPr="00000000">
              <w:rPr>
                <w:rtl w:val="0"/>
              </w:rPr>
            </w:r>
          </w:p>
        </w:tc>
        <w:tc>
          <w:tcPr>
            <w:gridSpan w:val="2"/>
          </w:tcPr>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Activities/Strategies</w:t>
            </w:r>
            <w:r w:rsidDel="00000000" w:rsidR="00000000" w:rsidRPr="00000000">
              <w:rPr>
                <w:rtl w:val="0"/>
              </w:rPr>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rtl w:val="0"/>
              </w:rPr>
              <w:t xml:space="preserve">How we teach content and skills</w:t>
            </w:r>
            <w:r w:rsidDel="00000000" w:rsidR="00000000" w:rsidRPr="00000000">
              <w:rPr>
                <w:rtl w:val="0"/>
              </w:rPr>
            </w:r>
          </w:p>
        </w:tc>
        <w:tc>
          <w:tcPr/>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Evidence (Assessments)</w:t>
            </w: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importance of saving and investing their income.</w:t>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rationale of creating a savings/investment plan to assist in meeting their financial goals.</w:t>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different types of insurance plans and which are the most appropriate for the individual person. </w:t>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difference between renter’s insurance and homeowner’s insurance. </w:t>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-Explain the importance of saving/investing their money</w:t>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-show the reasoning of why it is important to save or invest some of their money to meet financial goals both short or long term.</w:t>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-explain the reasons for purchasing renter’s or homeowner’s insurance and the difference between the two. </w:t>
            </w:r>
          </w:p>
        </w:tc>
        <w:tc>
          <w:tcPr>
            <w:gridSpan w:val="2"/>
          </w:tcPr>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Module 15: Insurance</w:t>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Module 17: Investments</w:t>
            </w:r>
          </w:p>
        </w:tc>
        <w:tc>
          <w:tcPr/>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Quizzes, pre-test, instructional activities, post tests, journals, projects</w:t>
            </w:r>
          </w:p>
        </w:tc>
      </w:tr>
      <w:tr>
        <w:trPr>
          <w:cantSplit w:val="0"/>
          <w:trHeight w:val="120" w:hRule="atLeast"/>
          <w:tblHeader w:val="0"/>
        </w:trPr>
        <w:tc>
          <w:tcPr>
            <w:gridSpan w:val="6"/>
            <w:shd w:fill="1f497d" w:val="clear"/>
          </w:tcPr>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color w:val="ffffff"/>
                <w:sz w:val="24"/>
                <w:szCs w:val="24"/>
                <w:u w:val="single"/>
                <w:rtl w:val="0"/>
              </w:rPr>
              <w:t xml:space="preserve">Spiraling for Mastery </w:t>
            </w: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color w:val="ffffff"/>
                <w:sz w:val="24"/>
                <w:szCs w:val="24"/>
                <w:rtl w:val="0"/>
              </w:rPr>
              <w:t xml:space="preserve">Where does this unit spiral back to other units from this or previous years</w:t>
            </w:r>
            <w:r w:rsidDel="00000000" w:rsidR="00000000" w:rsidRPr="00000000">
              <w:rPr>
                <w:rtl w:val="0"/>
              </w:rPr>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Spiral Focus from Previous Unit</w:t>
            </w:r>
            <w:r w:rsidDel="00000000" w:rsidR="00000000" w:rsidRPr="00000000">
              <w:rPr>
                <w:rtl w:val="0"/>
              </w:rPr>
            </w:r>
          </w:p>
        </w:tc>
        <w:tc>
          <w:tcPr>
            <w:gridSpan w:val="2"/>
          </w:tcPr>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unit introduces the concept of selecting  an insurance policy that meets the needs of the individual and how financial institutions offer services that will allow the individual to save/invest a portion of their income to meet financial goals. </w:t>
            </w:r>
          </w:p>
        </w:tc>
        <w:tc>
          <w:tcPr>
            <w:gridSpan w:val="2"/>
          </w:tcPr>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Skills used in the previous units such as money management, income and careers assist in this particular unit. </w:t>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t>
            </w:r>
            <w:hyperlink r:id="rId6">
              <w:r w:rsidDel="00000000" w:rsidR="00000000" w:rsidRPr="00000000">
                <w:rPr>
                  <w:color w:val="1155cc"/>
                  <w:u w:val="single"/>
                  <w:rtl w:val="0"/>
                </w:rPr>
                <w:t xml:space="preserve">www.Bizkids.com</w:t>
              </w:r>
            </w:hyperlink>
            <w:r w:rsidDel="00000000" w:rsidR="00000000" w:rsidRPr="00000000">
              <w:fldChar w:fldCharType="begin"/>
              <w:instrText xml:space="preserve"> HYPERLINK "http://www.bizkids.com" </w:instrText>
              <w:fldChar w:fldCharType="separate"/>
            </w: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rtl w:val="0"/>
              </w:rPr>
              <w:t xml:space="preserve">-</w:t>
            </w:r>
            <w:hyperlink r:id="rId7">
              <w:r w:rsidDel="00000000" w:rsidR="00000000" w:rsidRPr="00000000">
                <w:rPr>
                  <w:color w:val="1155cc"/>
                  <w:u w:val="single"/>
                  <w:rtl w:val="0"/>
                </w:rPr>
                <w:t xml:space="preserve">www.fianceintheclassroom.com</w:t>
              </w:r>
            </w:hyperlink>
            <w:r w:rsidDel="00000000" w:rsidR="00000000" w:rsidRPr="00000000">
              <w:fldChar w:fldCharType="begin"/>
              <w:instrText xml:space="preserve"> HYPERLINK "http://www.fianceintheclassroom.com" </w:instrText>
              <w:fldChar w:fldCharType="separate"/>
            </w: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rtl w:val="0"/>
              </w:rPr>
              <w:t xml:space="preserve">-</w:t>
            </w:r>
            <w:hyperlink r:id="rId8">
              <w:r w:rsidDel="00000000" w:rsidR="00000000" w:rsidRPr="00000000">
                <w:rPr>
                  <w:color w:val="1155cc"/>
                  <w:u w:val="single"/>
                  <w:rtl w:val="0"/>
                </w:rPr>
                <w:t xml:space="preserve">www.edutopia.org</w:t>
              </w:r>
            </w:hyperlink>
            <w:r w:rsidDel="00000000" w:rsidR="00000000" w:rsidRPr="00000000">
              <w:fldChar w:fldCharType="begin"/>
              <w:instrText xml:space="preserve"> HYPERLINK "http://www.edutopia.org" </w:instrText>
              <w:fldChar w:fldCharType="separate"/>
            </w: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rtl w:val="0"/>
              </w:rPr>
              <w:t xml:space="preserve">-</w:t>
            </w:r>
            <w:hyperlink r:id="rId9">
              <w:r w:rsidDel="00000000" w:rsidR="00000000" w:rsidRPr="00000000">
                <w:rPr>
                  <w:color w:val="1155cc"/>
                  <w:u w:val="single"/>
                  <w:rtl w:val="0"/>
                </w:rPr>
                <w:t xml:space="preserve">www.nea.org</w:t>
              </w:r>
            </w:hyperlink>
            <w:r w:rsidDel="00000000" w:rsidR="00000000" w:rsidRPr="00000000">
              <w:rPr>
                <w:rtl w:val="0"/>
              </w:rPr>
              <w:t xml:space="preserve"> </w:t>
            </w:r>
          </w:p>
        </w:tc>
      </w:tr>
      <w:tr>
        <w:trPr>
          <w:cantSplit w:val="0"/>
          <w:trHeight w:val="120" w:hRule="atLeast"/>
          <w:tblHeader w:val="0"/>
        </w:trPr>
        <w:tc>
          <w:tcPr>
            <w:gridSpan w:val="6"/>
          </w:tcPr>
          <w:p w:rsidR="00000000" w:rsidDel="00000000" w:rsidP="00000000" w:rsidRDefault="00000000" w:rsidRPr="00000000" w14:paraId="000000C2">
            <w:pPr>
              <w:rPr>
                <w:b w:val="1"/>
                <w:bCs w:val="1"/>
                <w:u w:val="single"/>
              </w:rPr>
            </w:pPr>
            <w:r w:rsidDel="00000000" w:rsidR="00000000" w:rsidRPr="00000000">
              <w:rPr>
                <w:b w:val="1"/>
                <w:bCs w:val="1"/>
                <w:u w:val="single"/>
                <w:rtl w:val="0"/>
              </w:rPr>
              <w:t xml:space="preserve">Career Readiness, Life Literacies, and Key Skills</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9.4.8.CT.1: Evaluate diverse solutions proposed by a variety of individuals, organizations, and/or agencies to a local or global problem, such as climate change, and use critical thinking skills to predict which one(s) are likely to be effective (e.g., MS-ETS1-2). </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b w:val="1"/>
                <w:bCs w:val="1"/>
                <w:u w:val="single"/>
              </w:rPr>
            </w:pPr>
            <w:r w:rsidDel="00000000" w:rsidR="00000000" w:rsidRPr="00000000">
              <w:rPr>
                <w:rtl w:val="0"/>
              </w:rPr>
              <w:t xml:space="preserve">9.4.8.CT.2: Develop multiple solutions to a problem and evaluate short- and long-term effects to determine the most plausible option (e.g., MS-ETS1-4, 6.1.8.CivicsDP.1).</w:t>
            </w: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Key resources:</w:t>
            </w:r>
            <w:r w:rsidDel="00000000" w:rsidR="00000000" w:rsidRPr="00000000">
              <w:rPr>
                <w:rtl w:val="0"/>
              </w:rPr>
              <w:t xml:space="preserve">  FoolProofMe.com </w:t>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4">
            <w:pPr>
              <w:rPr/>
            </w:pPr>
            <w:r w:rsidDel="00000000" w:rsidR="00000000" w:rsidRPr="00000000">
              <w:rPr>
                <w:b w:val="1"/>
                <w:bCs w:val="1"/>
                <w:u w:val="single"/>
                <w:rtl w:val="0"/>
              </w:rPr>
              <w:t xml:space="preserve">Interdisciplinary Connections:</w:t>
            </w: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NJSLSA.R1. Read closely to determine what the text says explicitly and to make logical inferences and relevant connections from it; cite specific textual evidence when writing or speaking to support conclusions drawn from the text.</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NJSLSA.R2. Determine central ideas or themes of a text and analyze their development; summarize the key supporting details and ideas. </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b w:val="1"/>
                <w:bCs w:val="1"/>
                <w:u w:val="single"/>
              </w:rPr>
            </w:pPr>
            <w:r w:rsidDel="00000000" w:rsidR="00000000" w:rsidRPr="00000000">
              <w:rPr>
                <w:rtl w:val="0"/>
              </w:rPr>
              <w:t xml:space="preserve">NJSLSA.R3. Analyze how and why individuals, events, and ideas develop and interact over the course of a text. </w:t>
            </w:r>
            <w:r w:rsidDel="00000000" w:rsidR="00000000" w:rsidRPr="00000000">
              <w:rPr>
                <w:rtl w:val="0"/>
              </w:rPr>
            </w:r>
          </w:p>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bl>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bookmarkStart w:colFirst="0" w:colLast="0" w:name="_gjdgxs" w:id="0"/>
      <w:bookmarkEnd w:id="0"/>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10" w:type="default"/>
      <w:footerReference r:id="rId11"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720" w:before="0" w:line="240" w:lineRule="auto"/>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r w:rsidDel="00000000" w:rsidR="00000000" w:rsidRPr="00000000">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bCs w:val="1"/>
      <w:i w:val="0"/>
      <w:iCs w:val="0"/>
      <w:smallCaps w:val="0"/>
      <w:strike w:val="0"/>
      <w:color w:val="000000"/>
      <w:sz w:val="48"/>
      <w:szCs w:val="48"/>
      <w:u w:val="none"/>
      <w:vertAlign w:val="baseline"/>
    </w:rPr>
  </w:style>
  <w:style w:type="paragraph" w:styleId="Heading2">
    <w:name w:val="heading 2"/>
    <w:basedOn w:val="Normal"/>
    <w:next w:val="Normal"/>
    <w:pPr>
      <w:keepNext w:val="1"/>
      <w:keepLines w:val="1"/>
      <w:pageBreakBefore w:val="0"/>
      <w:widowControl w:val="1"/>
      <w:spacing w:after="80" w:before="360" w:line="276" w:lineRule="auto"/>
      <w:ind w:left="0" w:right="0" w:firstLine="0"/>
      <w:jc w:val="left"/>
    </w:pPr>
    <w:rPr>
      <w:rFonts w:ascii="Calibri" w:cs="Calibri" w:eastAsia="Calibri" w:hAnsi="Calibri"/>
      <w:b w:val="1"/>
      <w:bCs w:val="1"/>
      <w:i w:val="0"/>
      <w:iCs w:val="0"/>
      <w:smallCaps w:val="0"/>
      <w:strike w:val="0"/>
      <w:color w:val="000000"/>
      <w:sz w:val="36"/>
      <w:szCs w:val="36"/>
      <w:u w:val="none"/>
      <w:vertAlign w:val="baseline"/>
    </w:rPr>
  </w:style>
  <w:style w:type="paragraph" w:styleId="Heading3">
    <w:name w:val="heading 3"/>
    <w:basedOn w:val="Normal"/>
    <w:next w:val="Normal"/>
    <w:pPr>
      <w:keepNext w:val="1"/>
      <w:keepLines w:val="1"/>
      <w:pageBreakBefore w:val="0"/>
      <w:widowControl w:val="1"/>
      <w:spacing w:after="80" w:before="280" w:line="276" w:lineRule="auto"/>
      <w:ind w:left="0" w:right="0" w:firstLine="0"/>
      <w:jc w:val="left"/>
    </w:pPr>
    <w:rPr>
      <w:rFonts w:ascii="Calibri" w:cs="Calibri" w:eastAsia="Calibri" w:hAnsi="Calibri"/>
      <w:b w:val="1"/>
      <w:bCs w:val="1"/>
      <w:i w:val="0"/>
      <w:iCs w:val="0"/>
      <w:smallCaps w:val="0"/>
      <w:strike w:val="0"/>
      <w:color w:val="000000"/>
      <w:sz w:val="28"/>
      <w:szCs w:val="28"/>
      <w:u w:val="none"/>
      <w:vertAlign w:val="baseline"/>
    </w:rPr>
  </w:style>
  <w:style w:type="paragraph" w:styleId="Heading4">
    <w:name w:val="heading 4"/>
    <w:basedOn w:val="Normal"/>
    <w:next w:val="Normal"/>
    <w:pPr>
      <w:keepNext w:val="1"/>
      <w:keepLines w:val="1"/>
      <w:pageBreakBefore w:val="0"/>
      <w:widowControl w:val="1"/>
      <w:spacing w:after="40" w:before="240" w:line="276" w:lineRule="auto"/>
      <w:ind w:left="0" w:right="0" w:firstLine="0"/>
      <w:jc w:val="left"/>
    </w:pPr>
    <w:rPr>
      <w:rFonts w:ascii="Calibri" w:cs="Calibri" w:eastAsia="Calibri" w:hAnsi="Calibri"/>
      <w:b w:val="1"/>
      <w:bCs w:val="1"/>
      <w:i w:val="0"/>
      <w:iCs w:val="0"/>
      <w:smallCaps w:val="0"/>
      <w:strike w:val="0"/>
      <w:color w:val="000000"/>
      <w:sz w:val="24"/>
      <w:szCs w:val="24"/>
      <w:u w:val="none"/>
      <w:vertAlign w:val="baseline"/>
    </w:rPr>
  </w:style>
  <w:style w:type="paragraph" w:styleId="Heading5">
    <w:name w:val="heading 5"/>
    <w:basedOn w:val="Normal"/>
    <w:next w:val="Normal"/>
    <w:pPr>
      <w:keepNext w:val="1"/>
      <w:keepLines w:val="1"/>
      <w:pageBreakBefore w:val="0"/>
      <w:widowControl w:val="1"/>
      <w:spacing w:after="40" w:before="220" w:line="276" w:lineRule="auto"/>
      <w:ind w:left="0" w:right="0" w:firstLine="0"/>
      <w:jc w:val="left"/>
    </w:pPr>
    <w:rPr>
      <w:rFonts w:ascii="Calibri" w:cs="Calibri" w:eastAsia="Calibri" w:hAnsi="Calibri"/>
      <w:b w:val="1"/>
      <w:bCs w:val="1"/>
      <w:i w:val="0"/>
      <w:iCs w:val="0"/>
      <w:smallCaps w:val="0"/>
      <w:strike w:val="0"/>
      <w:color w:val="000000"/>
      <w:sz w:val="22"/>
      <w:szCs w:val="22"/>
      <w:u w:val="none"/>
      <w:vertAlign w:val="baseline"/>
    </w:rPr>
  </w:style>
  <w:style w:type="paragraph" w:styleId="Heading6">
    <w:name w:val="heading 6"/>
    <w:basedOn w:val="Normal"/>
    <w:next w:val="Normal"/>
    <w:pPr>
      <w:keepNext w:val="1"/>
      <w:keepLines w:val="1"/>
      <w:pageBreakBefore w:val="0"/>
      <w:widowControl w:val="1"/>
      <w:spacing w:after="40" w:before="200" w:line="276" w:lineRule="auto"/>
      <w:ind w:left="0" w:right="0" w:firstLine="0"/>
      <w:jc w:val="left"/>
    </w:pPr>
    <w:rPr>
      <w:rFonts w:ascii="Calibri" w:cs="Calibri" w:eastAsia="Calibri" w:hAnsi="Calibri"/>
      <w:b w:val="1"/>
      <w:bCs w:val="1"/>
      <w:i w:val="0"/>
      <w:iCs w:val="0"/>
      <w:smallCaps w:val="0"/>
      <w:strike w:val="0"/>
      <w:color w:val="000000"/>
      <w:sz w:val="20"/>
      <w:szCs w:val="20"/>
      <w:u w:val="none"/>
      <w:vertAlign w:val="baseline"/>
    </w:rPr>
  </w:style>
  <w:style w:type="paragraph" w:styleId="Title">
    <w:name w:val="Title"/>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bCs w:val="1"/>
      <w:i w:val="0"/>
      <w:iCs w:val="0"/>
      <w:smallCaps w:val="0"/>
      <w:strike w:val="0"/>
      <w:color w:val="000000"/>
      <w:sz w:val="72"/>
      <w:szCs w:val="72"/>
      <w:u w:val="none"/>
      <w:vertAlign w:val="baseline"/>
    </w:rPr>
  </w:style>
  <w:style w:type="paragraph" w:styleId="Subtitle">
    <w:name w:val="Subtitle"/>
    <w:basedOn w:val="Normal"/>
    <w:next w:val="Normal"/>
    <w:pPr>
      <w:keepNext w:val="1"/>
      <w:keepLines w:val="1"/>
      <w:pageBreakBefore w:val="0"/>
      <w:widowControl w:val="1"/>
      <w:spacing w:after="80" w:before="360" w:line="276" w:lineRule="auto"/>
      <w:ind w:left="0" w:right="0" w:firstLine="0"/>
      <w:jc w:val="left"/>
    </w:pPr>
    <w:rPr>
      <w:rFonts w:ascii="Georgia" w:cs="Georgia" w:eastAsia="Georgia" w:hAnsi="Georgia"/>
      <w:b w:val="0"/>
      <w:bCs w:val="0"/>
      <w:i w:val="1"/>
      <w:iCs w:val="1"/>
      <w:smallCaps w:val="0"/>
      <w:strike w:val="0"/>
      <w:color w:val="666666"/>
      <w:sz w:val="48"/>
      <w:szCs w:val="48"/>
      <w:u w:val="none"/>
      <w:vertAlign w:val="baseline"/>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blStylePr w:type="band1Horz">
      <w:tcPr>
        <w:tcMar>
          <w:top w:w="0.0" w:type="dxa"/>
          <w:left w:w="115.0" w:type="dxa"/>
          <w:bottom w:w="0.0" w:type="dxa"/>
          <w:right w:w="115.0" w:type="dxa"/>
        </w:tcMar>
      </w:tcPr>
    </w:tblStylePr>
    <w:tblStylePr w:type="band1Vert">
      <w:tcPr>
        <w:tcMar>
          <w:top w:w="0.0" w:type="dxa"/>
          <w:left w:w="115.0" w:type="dxa"/>
          <w:bottom w:w="0.0" w:type="dxa"/>
          <w:right w:w="115.0" w:type="dxa"/>
        </w:tcMar>
      </w:tcPr>
    </w:tblStylePr>
    <w:tblStylePr w:type="band2Horz">
      <w:tcPr>
        <w:tcMar>
          <w:top w:w="0.0" w:type="dxa"/>
          <w:left w:w="115.0" w:type="dxa"/>
          <w:bottom w:w="0.0" w:type="dxa"/>
          <w:right w:w="115.0" w:type="dxa"/>
        </w:tcMar>
      </w:tcPr>
    </w:tblStylePr>
    <w:tblStylePr w:type="band2Vert">
      <w:tcPr>
        <w:tcMar>
          <w:top w:w="0.0" w:type="dxa"/>
          <w:left w:w="115.0" w:type="dxa"/>
          <w:bottom w:w="0.0" w:type="dxa"/>
          <w:right w:w="115.0" w:type="dxa"/>
        </w:tcMar>
      </w:tcPr>
    </w:tblStylePr>
    <w:tblStylePr w:type="firstCol">
      <w:tcPr>
        <w:tcMar>
          <w:top w:w="0.0" w:type="dxa"/>
          <w:left w:w="115.0" w:type="dxa"/>
          <w:bottom w:w="0.0" w:type="dxa"/>
          <w:right w:w="115.0" w:type="dxa"/>
        </w:tcMar>
      </w:tcPr>
    </w:tblStylePr>
    <w:tblStylePr w:type="firstRow">
      <w:tcPr>
        <w:tcMar>
          <w:top w:w="0.0" w:type="dxa"/>
          <w:left w:w="115.0" w:type="dxa"/>
          <w:bottom w:w="0.0" w:type="dxa"/>
          <w:right w:w="115.0" w:type="dxa"/>
        </w:tcMar>
      </w:tcPr>
    </w:tblStylePr>
    <w:tblStylePr w:type="lastCol">
      <w:tcPr>
        <w:tcMar>
          <w:top w:w="0.0" w:type="dxa"/>
          <w:left w:w="115.0" w:type="dxa"/>
          <w:bottom w:w="0.0" w:type="dxa"/>
          <w:right w:w="115.0" w:type="dxa"/>
        </w:tcMar>
      </w:tcPr>
    </w:tblStylePr>
    <w:tblStylePr w:type="lastRow">
      <w:tcPr>
        <w:tcMar>
          <w:top w:w="0.0" w:type="dxa"/>
          <w:left w:w="115.0" w:type="dxa"/>
          <w:bottom w:w="0.0" w:type="dxa"/>
          <w:right w:w="115.0" w:type="dxa"/>
        </w:tcMar>
      </w:tcPr>
    </w:tblStylePr>
    <w:tblStylePr w:type="neCell">
      <w:tcPr>
        <w:tcMar>
          <w:top w:w="0.0" w:type="dxa"/>
          <w:left w:w="115.0" w:type="dxa"/>
          <w:bottom w:w="0.0" w:type="dxa"/>
          <w:right w:w="115.0" w:type="dxa"/>
        </w:tcMar>
      </w:tcPr>
    </w:tblStylePr>
    <w:tblStylePr w:type="nwCell">
      <w:tcPr>
        <w:tcMar>
          <w:top w:w="0.0" w:type="dxa"/>
          <w:left w:w="115.0" w:type="dxa"/>
          <w:bottom w:w="0.0" w:type="dxa"/>
          <w:right w:w="115.0" w:type="dxa"/>
        </w:tcMar>
      </w:tcPr>
    </w:tblStylePr>
    <w:tblStylePr w:type="seCell">
      <w:tcPr>
        <w:tcMar>
          <w:top w:w="0.0" w:type="dxa"/>
          <w:left w:w="115.0" w:type="dxa"/>
          <w:bottom w:w="0.0" w:type="dxa"/>
          <w:right w:w="115.0" w:type="dxa"/>
        </w:tcMar>
      </w:tcPr>
    </w:tblStylePr>
    <w:tblStylePr w:type="swCell">
      <w:tcPr>
        <w:tcMar>
          <w:top w:w="0.0" w:type="dxa"/>
          <w:left w:w="115.0" w:type="dxa"/>
          <w:bottom w:w="0.0" w:type="dxa"/>
          <w:right w:w="115.0" w:type="dxa"/>
        </w:tcM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www.nea.org" TargetMode="External"/><Relationship Id="rId5" Type="http://schemas.openxmlformats.org/officeDocument/2006/relationships/styles" Target="styles.xml"/><Relationship Id="rId6" Type="http://schemas.openxmlformats.org/officeDocument/2006/relationships/hyperlink" Target="http://www.bizkids.com" TargetMode="External"/><Relationship Id="rId7" Type="http://schemas.openxmlformats.org/officeDocument/2006/relationships/hyperlink" Target="http://www.fianceintheclassroom.com" TargetMode="External"/><Relationship Id="rId8" Type="http://schemas.openxmlformats.org/officeDocument/2006/relationships/hyperlink" Target="http://www.edutopi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