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sz w:val="28"/>
                <w:szCs w:val="28"/>
              </w:rPr>
            </w:pPr>
            <w:bookmarkStart w:colFirst="0" w:colLast="0" w:name="_heading=h.gjdgxs" w:id="0"/>
            <w:bookmarkEnd w:id="0"/>
            <w:r w:rsidDel="00000000" w:rsidR="00000000" w:rsidRPr="00000000">
              <w:rPr>
                <w:b w:val="1"/>
                <w:i w:val="1"/>
                <w:sz w:val="28"/>
                <w:szCs w:val="28"/>
                <w:rtl w:val="0"/>
              </w:rPr>
              <w:t xml:space="preserve">French III Unit 5: L’Histoire de France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8"/>
                <w:szCs w:val="28"/>
                <w:rtl w:val="0"/>
              </w:rPr>
              <w:t xml:space="preserve">January-February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7.1.NM.IPRET.2: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7.1.NM.IPRET.3: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7.1.NM.IPRET.4: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​​7.1.NM.IPERS.1: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7.1.NM.IPERS.3: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7.1.NM.IPERS.4: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t xml:space="preserve">7.1.NM.PRSNT.6: Name and label tangible cultural products associated with climate change in the target language regions of the world.</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In this unit, students will explore the origins of the French people beginning with the Stone Age and cavemen and continuing until the Renaissance in 1598, just prior to the Protestant Reformation and French Revolution. Students will read about and discuss the different groups of people that account for French ancestry, their customs, and how their lives were shaped by various invaders and conquerors, including the Romans, Huns, and various Teutonic tribes. Students will also explore the various French dynasties of kings established with Clovis through </w:t>
            </w:r>
            <w:r w:rsidDel="00000000" w:rsidR="00000000" w:rsidRPr="00000000">
              <w:rPr>
                <w:rFonts w:ascii="Calibri" w:cs="Calibri" w:eastAsia="Calibri" w:hAnsi="Calibri"/>
                <w:i w:val="1"/>
                <w:rtl w:val="0"/>
              </w:rPr>
              <w:t xml:space="preserve">François Ier</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  The history of France has shaped its modern day language, cultures, and traditions.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Geography has a large impact on a group of people’s social, political, and economic ideas and structures.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invasions of Julius Caesar and the Romans, as well as various Teutonic tribes had many consequences on French culture, language, and traditions.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Religion plays a large role in the history and development of France as a nation.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Ideas from the Italian Renaissance changed many aspects of art and architecture in France. </w:t>
            </w:r>
            <w:r w:rsidDel="00000000" w:rsidR="00000000" w:rsidRPr="00000000">
              <w:rPr>
                <w:rFonts w:ascii="Times New Roman" w:cs="Times New Roman" w:eastAsia="Times New Roman" w:hAnsi="Times New Roman"/>
                <w:b w:val="0"/>
                <w:sz w:val="22"/>
                <w:szCs w:val="22"/>
                <w:rtl w:val="0"/>
              </w:rPr>
              <w:t xml:space="preserve"> </w:t>
            </w:r>
          </w:p>
        </w:tc>
      </w:tr>
      <w:tr>
        <w:trPr>
          <w:cantSplit w:val="0"/>
          <w:trHeight w:val="3180" w:hRule="atLeast"/>
          <w:tblHeader w:val="0"/>
        </w:trPr>
        <w:tc>
          <w:tcPr>
            <w:gridSpan w:val="6"/>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groups account for France’s ancestry?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geography, climate, and natural resources affect the way people live and work?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social, political, and economic ideas and structures existed during this time period?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resources contributed to the economic development of the Gauls and Franks?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is the history of the French people reflected in modern France?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have human views of the world, nature, and the cosmos changed?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natural resources affect nations and potential conflict among them?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differentiates one nation’s identity from another?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wars shape alliances and contribute to national identities?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languages, cultures, and religions  influence people and their nationalities?</w:t>
            </w:r>
          </w:p>
        </w:tc>
      </w:tr>
      <w:tr>
        <w:trPr>
          <w:cantSplit w:val="0"/>
          <w:trHeight w:val="220" w:hRule="atLeast"/>
          <w:tblHeader w:val="0"/>
        </w:trPr>
        <w:tc>
          <w:tcPr>
            <w:gridSpan w:val="3"/>
            <w:shd w:fill="1f497d"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Content/Objectives</w:t>
            </w:r>
          </w:p>
        </w:tc>
        <w:tc>
          <w:tcPr>
            <w:gridSpan w:val="3"/>
            <w:shd w:fill="1f497d"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Describe the origins of the French people.  </w:t>
            </w:r>
          </w:p>
          <w:p w:rsidR="00000000" w:rsidDel="00000000" w:rsidP="00000000" w:rsidRDefault="00000000" w:rsidRPr="00000000" w14:paraId="0000006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Compare and contrast the Liguarians and Celts/Gauls.  </w:t>
            </w:r>
          </w:p>
          <w:p w:rsidR="00000000" w:rsidDel="00000000" w:rsidP="00000000" w:rsidRDefault="00000000" w:rsidRPr="00000000" w14:paraId="0000006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Pr>
              <w:drawing>
                <wp:inline distB="0" distT="0" distL="0" distR="0">
                  <wp:extent cx="10160" cy="6096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Fonts w:ascii="Calibri" w:cs="Calibri" w:eastAsia="Calibri" w:hAnsi="Calibri"/>
                <w:rtl w:val="0"/>
              </w:rPr>
              <w:t xml:space="preserve">Describe the impact of Roman invasions in France.  </w:t>
            </w:r>
          </w:p>
          <w:p w:rsidR="00000000" w:rsidDel="00000000" w:rsidP="00000000" w:rsidRDefault="00000000" w:rsidRPr="00000000" w14:paraId="0000006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Identify important historical figures from 10000 B.C. to 1598 A.D.  </w:t>
            </w:r>
          </w:p>
          <w:p w:rsidR="00000000" w:rsidDel="00000000" w:rsidP="00000000" w:rsidRDefault="00000000" w:rsidRPr="00000000" w14:paraId="0000006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Create a cave painting similar to those in the Lascaux caves.  </w:t>
            </w:r>
          </w:p>
          <w:p w:rsidR="00000000" w:rsidDel="00000000" w:rsidP="00000000" w:rsidRDefault="00000000" w:rsidRPr="00000000" w14:paraId="0000006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Describe the political structure of feudalism.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r>
            <w:r w:rsidDel="00000000" w:rsidR="00000000" w:rsidRPr="00000000">
              <w:rPr>
                <w:rFonts w:ascii="Calibri" w:cs="Calibri" w:eastAsia="Calibri" w:hAnsi="Calibri"/>
                <w:rtl w:val="0"/>
              </w:rPr>
              <w:tab/>
              <w:t xml:space="preserve">‐  Short descriptions of the accomplishments of various French historical figures.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Descriptions of cave paintings.</w:t>
            </w:r>
            <w:r w:rsidDel="00000000" w:rsidR="00000000" w:rsidRPr="00000000">
              <w:rPr>
                <w:rFonts w:ascii="Calibri" w:cs="Calibri" w:eastAsia="Calibri" w:hAnsi="Calibri"/>
                <w:b w:val="1"/>
                <w:sz w:val="30"/>
                <w:szCs w:val="3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on lecture on Stone Age with supplemental visuals on PowerPoint. 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map highlighting geographical features and important cities in France. 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on lecture about Roman conquest with supplemental visuals on PowerPoint. 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“Asterix and Obélix” comic book, identifying characteristics of main characters. 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Work with a partner to describe the main events from “Asterix and Obléix” reading. 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Summarize accomplishments/characteristics of historical figures in French or English. 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on lecture about kings of France through Francis I with supplemental visuals on PowerPoint.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memory game with various terms on SMART Board. 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on Lascaux cave paintings from lecture. 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Create a “cave painting” using brown paper and charcoal. </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8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Formative Assessment</w:t>
            </w:r>
            <w:r w:rsidDel="00000000" w:rsidR="00000000" w:rsidRPr="00000000">
              <w:rPr>
                <w:rtl w:val="0"/>
              </w:rPr>
            </w:r>
          </w:p>
          <w:p w:rsidR="00000000" w:rsidDel="00000000" w:rsidP="00000000" w:rsidRDefault="00000000" w:rsidRPr="00000000" w14:paraId="0000008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Homework questions summarizing daily lectures in packets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historical figures and main events (1000 B.C. – 450 A.D. and 450 A.D. – 1598 A.D.)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Warm‐up Exercises: ex; put the events in order, match the leader to his/her picture, compare and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contrast characteristics of Gauls and Liguarians, write two lines to describe the mentioned figure, etc.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Performance Assessment</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Create a cave painting similar to the paintings of Lascaux with brown paper, charcoal, and Comté clay crayons. </w:t>
            </w: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0160" cy="10160"/>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Write and illustrate your own “Asterix and Obélix” comic strip. </w:t>
            </w:r>
            <w:r w:rsidDel="00000000" w:rsidR="00000000" w:rsidRPr="00000000">
              <w:rPr>
                <w:rtl w:val="0"/>
              </w:rPr>
            </w:r>
          </w:p>
          <w:p w:rsidR="00000000" w:rsidDel="00000000" w:rsidP="00000000" w:rsidRDefault="00000000" w:rsidRPr="00000000" w14:paraId="0000009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jc w:val="center"/>
              <w:rPr>
                <w:b w:val="1"/>
                <w:sz w:val="24"/>
                <w:szCs w:val="24"/>
                <w:u w:val="single"/>
              </w:rPr>
            </w:pPr>
            <w:r w:rsidDel="00000000" w:rsidR="00000000" w:rsidRPr="00000000">
              <w:rPr>
                <w:b w:val="1"/>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origins of the French People</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-Asterix and his “band of merry men”</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capital of France</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stress pronouns</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ancient Romans named France  -  Gaul</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-Create a cave painting in the style of the Lascaux caves</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-Take notes on visuals</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-Origins of the “Paris” the capital </w:t>
            </w:r>
          </w:p>
        </w:tc>
      </w:tr>
      <w:tr>
        <w:trPr>
          <w:cantSplit w:val="0"/>
          <w:trHeight w:val="120" w:hRule="atLeast"/>
          <w:tblHeader w:val="0"/>
        </w:trPr>
        <w:tc>
          <w:tcPr>
            <w:gridSpan w:val="6"/>
          </w:tcPr>
          <w:p w:rsidR="00000000" w:rsidDel="00000000" w:rsidP="00000000" w:rsidRDefault="00000000" w:rsidRPr="00000000" w14:paraId="000000B7">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Bien Dit Level 2 Chapter 6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Textbook readings: Poem titled </w:t>
            </w:r>
            <w:r w:rsidDel="00000000" w:rsidR="00000000" w:rsidRPr="00000000">
              <w:rPr>
                <w:rFonts w:ascii="Calibri" w:cs="Calibri" w:eastAsia="Calibri" w:hAnsi="Calibri"/>
                <w:b w:val="0"/>
                <w:i w:val="1"/>
                <w:sz w:val="22"/>
                <w:szCs w:val="22"/>
                <w:rtl w:val="0"/>
              </w:rPr>
              <w:t xml:space="preserve">Mon Pays </w:t>
            </w:r>
            <w:r w:rsidDel="00000000" w:rsidR="00000000" w:rsidRPr="00000000">
              <w:rPr>
                <w:rFonts w:ascii="Calibri" w:cs="Calibri" w:eastAsia="Calibri" w:hAnsi="Calibri"/>
                <w:b w:val="0"/>
                <w:sz w:val="22"/>
                <w:szCs w:val="22"/>
                <w:rtl w:val="0"/>
              </w:rPr>
              <w:t xml:space="preserv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“History of France” by Wade Peterson (available from Teacher’s Discovery)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Asterix and Obelix comic book (various titles)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rFonts w:ascii="Times New Roman" w:cs="Times New Roman" w:eastAsia="Times New Roman" w:hAnsi="Times New Roman"/>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w:t>
            </w:r>
          </w:p>
          <w:p w:rsidR="00000000" w:rsidDel="00000000" w:rsidP="00000000" w:rsidRDefault="00000000" w:rsidRPr="00000000" w14:paraId="000000D5">
            <w:pPr>
              <w:rPr/>
            </w:pPr>
            <w:r w:rsidDel="00000000" w:rsidR="00000000" w:rsidRPr="00000000">
              <w:rPr>
                <w:rtl w:val="0"/>
              </w:rPr>
              <w:t xml:space="preserve">English Language Arts: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D8">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D9">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9">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footerReference r:id="rId11"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forms/d/1SW2D1aDmhBKEISuIBYrSwhGonjUki5g62NgzXqndB6A/viewform?usp=send_for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clopmWTkvkmhNMgMSlra7AMmkA==">AMUW2mXc1gN013A4TOfTu74IV++Bt1o82EHbftSXWyeVQ7HQTpbVoyTNci+lfxhrAuYELbCaybaStzXemHzMAnA4hTtbqGakNUUsZlwj2ucvrYTa2+piLGpc/1486J86nhDueYl4PyLs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