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III Unit 3: A La Gare et a l’aeroport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November-December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t>
            </w: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7.1.NM.PRSNT.6: Name and label tangible cultural products associated with climate change in the target language regions of the world.</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240" w:lineRule="auto"/>
              <w:rPr>
                <w:sz w:val="20"/>
                <w:szCs w:val="20"/>
              </w:rPr>
            </w:pPr>
            <w:r w:rsidDel="00000000" w:rsidR="00000000" w:rsidRPr="00000000">
              <w:rPr>
                <w:rFonts w:ascii="Calibri" w:cs="Calibri" w:eastAsia="Calibri" w:hAnsi="Calibri"/>
                <w:rtl w:val="0"/>
              </w:rPr>
              <w:t xml:space="preserve">This unit introduces students to vocabulary for popular modes of transportation: airplanes and trains. Students will discuss international travel, going through customs and immigration, and the importance of the train system in France. Students will also explore the castles of the Loire Valley as well as Versailles Palace outsie of Paris. Grammar structures in this unit include double object prononuns, expressions of time (</w:t>
            </w:r>
            <w:r w:rsidDel="00000000" w:rsidR="00000000" w:rsidRPr="00000000">
              <w:rPr>
                <w:rFonts w:ascii="Calibri" w:cs="Calibri" w:eastAsia="Calibri" w:hAnsi="Calibri"/>
                <w:i w:val="1"/>
                <w:rtl w:val="0"/>
              </w:rPr>
              <w:t xml:space="preserve">depuis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il y a</w:t>
            </w:r>
            <w:r w:rsidDel="00000000" w:rsidR="00000000" w:rsidRPr="00000000">
              <w:rPr>
                <w:rFonts w:ascii="Calibri" w:cs="Calibri" w:eastAsia="Calibri" w:hAnsi="Calibri"/>
                <w:rtl w:val="0"/>
              </w:rPr>
              <w:t xml:space="preserve">), and the two irregular verbs “to know”, </w:t>
            </w:r>
            <w:r w:rsidDel="00000000" w:rsidR="00000000" w:rsidRPr="00000000">
              <w:rPr>
                <w:rFonts w:ascii="Calibri" w:cs="Calibri" w:eastAsia="Calibri" w:hAnsi="Calibri"/>
                <w:i w:val="1"/>
                <w:rtl w:val="0"/>
              </w:rPr>
              <w:t xml:space="preserve">savoir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connaître</w:t>
            </w:r>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ab/>
              <w:tab/>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Traveling is a key to exploring other languages and cultures.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history of France is reflected today in various areas, cities, and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architectural structures.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4"/>
                <w:szCs w:val="24"/>
                <w:rtl w:val="0"/>
              </w:rPr>
              <w:t xml:space="preserve"> </w:t>
            </w:r>
          </w:p>
        </w:tc>
      </w:tr>
      <w:tr>
        <w:trPr>
          <w:cantSplit w:val="0"/>
          <w:trHeight w:val="900" w:hRule="atLeast"/>
          <w:tblHeader w:val="0"/>
        </w:trPr>
        <w:tc>
          <w:tcPr>
            <w:gridSpan w:val="6"/>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different modes of transportation, and how could I use them if I were traveling in France?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irregular?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express myself and share the same information with others in French?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describe how long something has been happening?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find out  meaning when words are not understood? </w:t>
            </w:r>
          </w:p>
          <w:p w:rsidR="00000000" w:rsidDel="00000000" w:rsidP="00000000" w:rsidRDefault="00000000" w:rsidRPr="00000000" w14:paraId="00000055">
            <w:pPr>
              <w:widowControl w:val="0"/>
              <w:numPr>
                <w:ilvl w:val="0"/>
                <w:numId w:val="2"/>
              </w:numPr>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60960"/>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10160" cy="1016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Make travel plans on a plane or train.  </w:t>
            </w:r>
          </w:p>
          <w:p w:rsidR="00000000" w:rsidDel="00000000" w:rsidP="00000000" w:rsidRDefault="00000000" w:rsidRPr="00000000" w14:paraId="0000006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Correctly utilize expressions at the airport and train station to travel and pass  through customs. </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Apply double object pronouns to sentences.  </w:t>
            </w:r>
          </w:p>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Compare and contrast travel in the United States and France.  </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and describe various famous French castles.  </w:t>
            </w:r>
          </w:p>
          <w:p w:rsidR="00000000" w:rsidDel="00000000" w:rsidP="00000000" w:rsidRDefault="00000000" w:rsidRPr="00000000" w14:paraId="0000007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the irregular verbs </w:t>
            </w:r>
            <w:r w:rsidDel="00000000" w:rsidR="00000000" w:rsidRPr="00000000">
              <w:rPr>
                <w:rFonts w:ascii="Calibri" w:cs="Calibri" w:eastAsia="Calibri" w:hAnsi="Calibri"/>
                <w:i w:val="1"/>
                <w:rtl w:val="0"/>
              </w:rPr>
              <w:t xml:space="preserve">savoir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connaître </w:t>
            </w:r>
            <w:r w:rsidDel="00000000" w:rsidR="00000000" w:rsidRPr="00000000">
              <w:rPr>
                <w:rFonts w:ascii="Calibri" w:cs="Calibri" w:eastAsia="Calibri" w:hAnsi="Calibri"/>
                <w:rtl w:val="0"/>
              </w:rPr>
              <w:t xml:space="preserve">to express what you know.  </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Distinguish between the usage of </w:t>
            </w:r>
            <w:r w:rsidDel="00000000" w:rsidR="00000000" w:rsidRPr="00000000">
              <w:rPr>
                <w:rFonts w:ascii="Calibri" w:cs="Calibri" w:eastAsia="Calibri" w:hAnsi="Calibri"/>
                <w:i w:val="1"/>
                <w:rtl w:val="0"/>
              </w:rPr>
              <w:t xml:space="preserve">savoir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connaître </w:t>
            </w:r>
            <w:r w:rsidDel="00000000" w:rsidR="00000000" w:rsidRPr="00000000">
              <w:rPr>
                <w:rFonts w:ascii="Calibri" w:cs="Calibri" w:eastAsia="Calibri" w:hAnsi="Calibri"/>
                <w:rtl w:val="0"/>
              </w:rPr>
              <w:t xml:space="preserve">to express what you know.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Ask for information about travel costs, times, and destinations.  </w:t>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Give information about travel details and directions.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describing their travel experiences.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Sentences using more than one object pronoun.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Dialogues at an airport or train station.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entries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Conversation Culturelles in Bien Dit 2, Chapter 7 and fill in the blanks of the conversation.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Anagram activity with vocabulary words on SMART Board. 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Read Aperçus Culturels and discuss as a class. </w:t>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Explore SNCF website and compare train ticket prices, various trips, times from Paris to various destinations.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about object pronouns. 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Rewrite sentences using object pronouns.</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 Reconstruct sentences with object pronouns and translate into English. </w:t>
            </w: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expressions </w:t>
            </w:r>
            <w:r w:rsidDel="00000000" w:rsidR="00000000" w:rsidRPr="00000000">
              <w:rPr>
                <w:rFonts w:ascii="Calibri" w:cs="Calibri" w:eastAsia="Calibri" w:hAnsi="Calibri"/>
                <w:i w:val="1"/>
                <w:rtl w:val="0"/>
              </w:rPr>
              <w:t xml:space="preserve">il y a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depuis </w:t>
            </w:r>
            <w:r w:rsidDel="00000000" w:rsidR="00000000" w:rsidRPr="00000000">
              <w:rPr>
                <w:rFonts w:ascii="Calibri" w:cs="Calibri" w:eastAsia="Calibri" w:hAnsi="Calibri"/>
                <w:rtl w:val="0"/>
              </w:rPr>
              <w:t xml:space="preserve">from PowerPoint. 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exercises from Bien Dit 2, Chapter 7 using grammatical concepts and vocabulary.</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Conjugate the verbs </w:t>
            </w:r>
            <w:r w:rsidDel="00000000" w:rsidR="00000000" w:rsidRPr="00000000">
              <w:rPr>
                <w:rFonts w:ascii="Calibri" w:cs="Calibri" w:eastAsia="Calibri" w:hAnsi="Calibri"/>
                <w:i w:val="1"/>
                <w:rtl w:val="0"/>
              </w:rPr>
              <w:t xml:space="preserve">savoir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connaître </w:t>
            </w:r>
            <w:r w:rsidDel="00000000" w:rsidR="00000000" w:rsidRPr="00000000">
              <w:rPr>
                <w:rFonts w:ascii="Calibri" w:cs="Calibri" w:eastAsia="Calibri" w:hAnsi="Calibri"/>
                <w:rtl w:val="0"/>
              </w:rPr>
              <w:t xml:space="preserve">into notes and take notes on differences between the two verbs. 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sentences with </w:t>
            </w:r>
            <w:r w:rsidDel="00000000" w:rsidR="00000000" w:rsidRPr="00000000">
              <w:rPr>
                <w:rFonts w:ascii="Calibri" w:cs="Calibri" w:eastAsia="Calibri" w:hAnsi="Calibri"/>
                <w:i w:val="1"/>
                <w:rtl w:val="0"/>
              </w:rPr>
              <w:t xml:space="preserve">savoir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connaître </w:t>
            </w:r>
            <w:r w:rsidDel="00000000" w:rsidR="00000000" w:rsidRPr="00000000">
              <w:rPr>
                <w:rFonts w:ascii="Calibri" w:cs="Calibri" w:eastAsia="Calibri" w:hAnsi="Calibri"/>
                <w:rtl w:val="0"/>
              </w:rPr>
              <w:t xml:space="preserve">and then ask a partner whether or not the subjects know the people/places/facts/skills. 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10 line dialogue with a partner that might happen at an airport or train station.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Loto with vocabulary. 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Word search with vocabulary. 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Review of vocabulary with quizlet flashcards on SMART Board. </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A">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Formative Assessment</w:t>
            </w:r>
            <w:r w:rsidDel="00000000" w:rsidR="00000000" w:rsidRPr="00000000">
              <w:rPr>
                <w:rtl w:val="0"/>
              </w:rPr>
            </w:r>
          </w:p>
          <w:p w:rsidR="00000000" w:rsidDel="00000000" w:rsidP="00000000" w:rsidRDefault="00000000" w:rsidRPr="00000000" w14:paraId="0000009B">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7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airport vocabulary, train station vocabulary, </w:t>
            </w:r>
            <w:r w:rsidDel="00000000" w:rsidR="00000000" w:rsidRPr="00000000">
              <w:rPr>
                <w:rFonts w:ascii="Calibri" w:cs="Calibri" w:eastAsia="Calibri" w:hAnsi="Calibri"/>
                <w:i w:val="1"/>
                <w:rtl w:val="0"/>
              </w:rPr>
              <w:t xml:space="preserve">depuis v. il y a</w:t>
            </w:r>
            <w:r w:rsidDel="00000000" w:rsidR="00000000" w:rsidRPr="00000000">
              <w:rPr>
                <w:rFonts w:ascii="Calibri" w:cs="Calibri" w:eastAsia="Calibri" w:hAnsi="Calibri"/>
                <w:rtl w:val="0"/>
              </w:rPr>
              <w:t xml:space="preserve">, double object pronouns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fill in the blank and short answers with vocabulary </w:t>
            </w:r>
            <w:r w:rsidDel="00000000" w:rsidR="00000000" w:rsidRPr="00000000">
              <w:rPr>
                <w:rFonts w:ascii="Calibri" w:cs="Calibri" w:eastAsia="Calibri" w:hAnsi="Calibri"/>
                <w:i w:val="1"/>
                <w:rtl w:val="0"/>
              </w:rPr>
              <w:t xml:space="preserve">depuis </w:t>
            </w: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i w:val="1"/>
                <w:rtl w:val="0"/>
              </w:rPr>
              <w:t xml:space="preserve">il y a, savoir, connaître</w:t>
            </w:r>
            <w:r w:rsidDel="00000000" w:rsidR="00000000" w:rsidRPr="00000000">
              <w:rPr>
                <w:rFonts w:ascii="Calibri" w:cs="Calibri" w:eastAsia="Calibri" w:hAnsi="Calibri"/>
                <w:rtl w:val="0"/>
              </w:rPr>
              <w:t xml:space="preserve">, double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object pronouns, short reading about Tours and listening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rewrite sentences with object pronouns, translate sentences into French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using object pronouns, fill in the blank with the correct verb “to know”, Checker game on SMART Board with vocabulary, fill in the blank with either </w:t>
            </w:r>
            <w:r w:rsidDel="00000000" w:rsidR="00000000" w:rsidRPr="00000000">
              <w:rPr>
                <w:rFonts w:ascii="Calibri" w:cs="Calibri" w:eastAsia="Calibri" w:hAnsi="Calibri"/>
                <w:i w:val="1"/>
                <w:rtl w:val="0"/>
              </w:rPr>
              <w:t xml:space="preserve">depuis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i w:val="1"/>
                <w:rtl w:val="0"/>
              </w:rPr>
              <w:t xml:space="preserve">il y a</w:t>
            </w:r>
            <w:r w:rsidDel="00000000" w:rsidR="00000000" w:rsidRPr="00000000">
              <w:rPr>
                <w:rFonts w:ascii="Calibri" w:cs="Calibri" w:eastAsia="Calibri" w:hAnsi="Calibri"/>
                <w:rtl w:val="0"/>
              </w:rPr>
              <w:t xml:space="preserve">,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F">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Performance Assessment</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2">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Write a journal for seven days describing what you did each day.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Write and perform a short dialogue.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 realty advertisement for a French castle; Present your castle to the class and take notes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on others’ castles. 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-The French Postal system</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-Discuss, compare and contrast life in the Maghreb</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-The irregular verbs ouvrir and dire</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-Relative pronouns qui and que</w:t>
            </w:r>
          </w:p>
        </w:tc>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verb ecrire</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-Direct and Indirect Pronouns</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-Francophone North Africa: known as the Maghreb. The countries of Algeria, Tunisia, and Morroco form the Maghreb.</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town of Strasbourg in the North East of France and the seat of the EU parliment</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Euro:  the monetery unit in Europe today</w:t>
            </w:r>
          </w:p>
        </w:tc>
      </w:tr>
      <w:tr>
        <w:trPr>
          <w:cantSplit w:val="0"/>
          <w:trHeight w:val="120" w:hRule="atLeast"/>
          <w:tblHeader w:val="0"/>
        </w:trPr>
        <w:tc>
          <w:tcPr>
            <w:gridSpan w:val="6"/>
          </w:tcPr>
          <w:p w:rsidR="00000000" w:rsidDel="00000000" w:rsidP="00000000" w:rsidRDefault="00000000" w:rsidRPr="00000000" w14:paraId="000000C4">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2 Chapter 6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Culture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Train schedules (</w:t>
            </w:r>
            <w:r w:rsidDel="00000000" w:rsidR="00000000" w:rsidRPr="00000000">
              <w:rPr>
                <w:rFonts w:ascii="Calibri" w:cs="Calibri" w:eastAsia="Calibri" w:hAnsi="Calibri"/>
                <w:b w:val="0"/>
                <w:color w:val="0000ff"/>
                <w:sz w:val="22"/>
                <w:szCs w:val="22"/>
                <w:rtl w:val="0"/>
              </w:rPr>
              <w:t xml:space="preserve">www.sncf.com</w:t>
            </w:r>
            <w:r w:rsidDel="00000000" w:rsidR="00000000" w:rsidRPr="00000000">
              <w:rPr>
                <w:rFonts w:ascii="Calibri" w:cs="Calibri" w:eastAsia="Calibri" w:hAnsi="Calibri"/>
                <w:b w:val="0"/>
                <w:sz w:val="22"/>
                <w:szCs w:val="22"/>
                <w:rtl w:val="0"/>
              </w:rPr>
              <w:t xml:space="preser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Brochures for various French castles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E3">
            <w:pPr>
              <w:rPr/>
            </w:pPr>
            <w:r w:rsidDel="00000000" w:rsidR="00000000" w:rsidRPr="00000000">
              <w:rPr>
                <w:rtl w:val="0"/>
              </w:rPr>
              <w:t xml:space="preserve">English Language Arts: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6">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7">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UhrGV2xFI3tkGvfuv11vtQZA==">AMUW2mWru4Wdr1XDbjk7dgtJLEY5H9D9DdoK6Suhe44i1nV1YxLXovvq+rkQhJwbE8bViIY5r9F28dYR/ph+0cLR2JGw5z12MyndVGDvhUG8GD9Tv6WOsE+K9flUJPetRCsfYlBQhbpw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