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heading=h.gjdgxs" w:id="0"/>
            <w:bookmarkEnd w:id="0"/>
            <w:r w:rsidDel="00000000" w:rsidR="00000000" w:rsidRPr="00000000">
              <w:rPr>
                <w:b w:val="1"/>
                <w:i w:val="1"/>
                <w:color w:val="ffffff"/>
                <w:sz w:val="28"/>
                <w:szCs w:val="28"/>
                <w:rtl w:val="0"/>
              </w:rPr>
              <w:t xml:space="preserve">French I Unit 3: Au Café?</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8"/>
                <w:szCs w:val="28"/>
                <w:rtl w:val="0"/>
              </w:rPr>
              <w:t xml:space="preserve">November-December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7.1.N.IPRET.1: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7.1.N.PRSNT.6: Name and label tangible cultural products associated with climate change in the target language regions of the world.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This unit is focused on the French café. Students will expand their use of expressions for physical well‐ being. It gives students the opportunity to learn to communicate in culturally appropriate contexts. Students will have contact with French idioms for hunger and thirst, the irregular verb </w:t>
            </w:r>
            <w:r w:rsidDel="00000000" w:rsidR="00000000" w:rsidRPr="00000000">
              <w:rPr>
                <w:rFonts w:ascii="Calibri" w:cs="Calibri" w:eastAsia="Calibri" w:hAnsi="Calibri"/>
                <w:i w:val="1"/>
                <w:rtl w:val="0"/>
              </w:rPr>
              <w:t xml:space="preserve">aller </w:t>
            </w:r>
            <w:r w:rsidDel="00000000" w:rsidR="00000000" w:rsidRPr="00000000">
              <w:rPr>
                <w:rFonts w:ascii="Calibri" w:cs="Calibri" w:eastAsia="Calibri" w:hAnsi="Calibri"/>
                <w:rtl w:val="0"/>
              </w:rPr>
              <w:t xml:space="preserve">(to go), and indefinite and definite articles, as well as telling time. Additionally, students will explore the eating habits of the French, as well as what it would be like to eat a French café.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Language reflects and is influenced by the culture in which it is found.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Food is an important aspect of every culture.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Cultural perspectives are gained by using the language and through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experience with its products and practices.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goal is effective communication, not word‐for‐word translation.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People appreciate your effort to learn and use their language. </w:t>
            </w:r>
            <w:r w:rsidDel="00000000" w:rsidR="00000000" w:rsidRPr="00000000">
              <w:rPr>
                <w:rFonts w:ascii="Times New Roman" w:cs="Times New Roman" w:eastAsia="Times New Roman" w:hAnsi="Times New Roman"/>
                <w:b w:val="0"/>
                <w:sz w:val="22"/>
                <w:szCs w:val="22"/>
                <w:rtl w:val="0"/>
              </w:rPr>
              <w:t xml:space="preserve"> </w:t>
            </w:r>
          </w:p>
        </w:tc>
      </w:tr>
      <w:tr>
        <w:trPr>
          <w:cantSplit w:val="0"/>
          <w:trHeight w:val="900" w:hRule="atLeast"/>
          <w:tblHeader w:val="0"/>
        </w:trPr>
        <w:tc>
          <w:tcPr>
            <w:gridSpan w:val="6"/>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Why are some verbs regular and some are irregular?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ask for and order food at a French café or fast food restaurant?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fluent do I need to be in order to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communicate effectively?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do I begin, sustain,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and end a conversation when I am just beginning to learn a new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do I feel when someone from another culture speaks my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enhance my connections with people through language? </w:t>
            </w:r>
            <w:r w:rsidDel="00000000" w:rsidR="00000000" w:rsidRPr="00000000">
              <w:rPr>
                <w:rFonts w:ascii="Times New Roman" w:cs="Times New Roman" w:eastAsia="Times New Roman" w:hAnsi="Times New Roman"/>
                <w:b w:val="0"/>
                <w:sz w:val="22"/>
                <w:szCs w:val="22"/>
                <w:rtl w:val="0"/>
              </w:rPr>
              <w:t xml:space="preserve"> </w:t>
            </w:r>
          </w:p>
        </w:tc>
      </w:tr>
      <w:tr>
        <w:trPr>
          <w:cantSplit w:val="0"/>
          <w:trHeight w:val="220" w:hRule="atLeast"/>
          <w:tblHeader w:val="0"/>
        </w:trPr>
        <w:tc>
          <w:tcPr>
            <w:gridSpan w:val="3"/>
            <w:shd w:fill="1f497d"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1. Ask someone how they are doing and tell how you are feeling. </w:t>
            </w: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2. Ask for and tell time. 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3. Identify food and beverages in French. 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4. Ask for and state a price. 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5. Count from 1‐100. 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6. Describe where one is going using the correct form of the verb </w:t>
            </w:r>
            <w:r w:rsidDel="00000000" w:rsidR="00000000" w:rsidRPr="00000000">
              <w:rPr>
                <w:rFonts w:ascii="Calibri" w:cs="Calibri" w:eastAsia="Calibri" w:hAnsi="Calibri"/>
                <w:i w:val="1"/>
                <w:rtl w:val="0"/>
              </w:rPr>
              <w:t xml:space="preserve">aller.</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7. Identify food and beverages with the correct indefinite and definite articles.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8. Identify the various denominations of the European currency: </w:t>
            </w:r>
            <w:r w:rsidDel="00000000" w:rsidR="00000000" w:rsidRPr="00000000">
              <w:rPr>
                <w:rFonts w:ascii="Calibri" w:cs="Calibri" w:eastAsia="Calibri" w:hAnsi="Calibri"/>
                <w:i w:val="1"/>
                <w:rtl w:val="0"/>
              </w:rPr>
              <w:t xml:space="preserve">le euro.</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9. Analyze eating customs and foods in French speaking countries. </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6A">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tab/>
            </w:r>
            <w:r w:rsidDel="00000000" w:rsidR="00000000" w:rsidRPr="00000000">
              <w:rPr>
                <w:rFonts w:ascii="Calibri" w:cs="Calibri" w:eastAsia="Calibri" w:hAnsi="Calibri"/>
                <w:rtl w:val="0"/>
              </w:rPr>
              <w:t xml:space="preserve">‐  Short journal responses to food customs in France.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B">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Summaries of culture sections in textbook on French fast food restaurants, cafés, and eating habits.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Café menu and conversations.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 to Conversation Culturelles from Bien Dit Level 1 Chapter 3, fill in blanks of dialogue on worksheet.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Aperçus Culturels sections from Chapter 3 Bien Dit Level 1 Chapter 3 and discuss as a class. 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Create a café skit and dialogues to perform for the class.</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Take notes from PowerPoint on telling time and complete graphic organizer. </w:t>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clock worksheet.</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Loto with food vocabulary and numbers 20‐100. 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Notes on indefinite and definite articles from PowerPoint. 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Listening </w:t>
            </w:r>
            <w:r w:rsidDel="00000000" w:rsidR="00000000" w:rsidRPr="00000000">
              <w:rPr>
                <w:rFonts w:ascii="Calibri" w:cs="Calibri" w:eastAsia="Calibri" w:hAnsi="Calibri"/>
                <w:i w:val="1"/>
                <w:rtl w:val="0"/>
              </w:rPr>
              <w:t xml:space="preserve">un </w:t>
            </w:r>
            <w:r w:rsidDel="00000000" w:rsidR="00000000" w:rsidRPr="00000000">
              <w:rPr>
                <w:rFonts w:ascii="Calibri" w:cs="Calibri" w:eastAsia="Calibri" w:hAnsi="Calibri"/>
                <w:rtl w:val="0"/>
              </w:rPr>
              <w:t xml:space="preserve">v. </w:t>
            </w:r>
            <w:r w:rsidDel="00000000" w:rsidR="00000000" w:rsidRPr="00000000">
              <w:rPr>
                <w:rFonts w:ascii="Calibri" w:cs="Calibri" w:eastAsia="Calibri" w:hAnsi="Calibri"/>
                <w:i w:val="1"/>
                <w:rtl w:val="0"/>
              </w:rPr>
              <w:t xml:space="preserve">une </w:t>
            </w:r>
            <w:r w:rsidDel="00000000" w:rsidR="00000000" w:rsidRPr="00000000">
              <w:rPr>
                <w:rFonts w:ascii="Calibri" w:cs="Calibri" w:eastAsia="Calibri" w:hAnsi="Calibri"/>
                <w:rtl w:val="0"/>
              </w:rPr>
              <w:t xml:space="preserve">Is the noun masculine or feminine? 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Subtraction and addition worksheets for numbers. 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culture section about French food and answer activity questions.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Write out your schedule by telling time in French. 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Review of vocabulary with Quizlet flashcards on SMART Board. 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Watch textbook DVD clips for Chapter 3. 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Create math flashcards and quiz a classmate.</w:t>
            </w:r>
            <w:r w:rsidDel="00000000" w:rsidR="00000000" w:rsidRPr="00000000">
              <w:rPr>
                <w:rtl w:val="0"/>
              </w:rPr>
            </w:r>
          </w:p>
        </w:tc>
        <w:tc>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b w:val="1"/>
              </w:rPr>
            </w:pPr>
            <w:r w:rsidDel="00000000" w:rsidR="00000000" w:rsidRPr="00000000">
              <w:rPr>
                <w:rFonts w:ascii="Calibri" w:cs="Calibri" w:eastAsia="Calibri" w:hAnsi="Calibri"/>
                <w:b w:val="1"/>
                <w:rtl w:val="0"/>
              </w:rPr>
              <w:t xml:space="preserve">Formative Assessments: </w:t>
            </w:r>
            <w:r w:rsidDel="00000000" w:rsidR="00000000" w:rsidRPr="00000000">
              <w:rPr>
                <w:rtl w:val="0"/>
              </w:rPr>
            </w:r>
          </w:p>
          <w:p w:rsidR="00000000" w:rsidDel="00000000" w:rsidP="00000000" w:rsidRDefault="00000000" w:rsidRPr="00000000" w14:paraId="0000007F">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Homework exercises in Grammar and Vocabulary workbook Chapter 3.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Quizzes – vocabulary, time, </w:t>
            </w:r>
            <w:r w:rsidDel="00000000" w:rsidR="00000000" w:rsidRPr="00000000">
              <w:rPr>
                <w:rFonts w:ascii="Calibri" w:cs="Calibri" w:eastAsia="Calibri" w:hAnsi="Calibri"/>
                <w:i w:val="1"/>
                <w:rtl w:val="0"/>
              </w:rPr>
              <w:t xml:space="preserve">aller</w:t>
            </w:r>
            <w:r w:rsidDel="00000000" w:rsidR="00000000" w:rsidRPr="00000000">
              <w:rPr>
                <w:rFonts w:ascii="Calibri" w:cs="Calibri" w:eastAsia="Calibri" w:hAnsi="Calibri"/>
                <w:rtl w:val="0"/>
              </w:rPr>
              <w:t xml:space="preserve">, and numbers.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1">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Dictations: topics may include short conversations at a café.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Notebook Quizzes on various warm‐ups and notes in notebook.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Unit Test: Multiple choice test on indefinite and definite articles, time, </w:t>
            </w:r>
            <w:r w:rsidDel="00000000" w:rsidR="00000000" w:rsidRPr="00000000">
              <w:rPr>
                <w:rFonts w:ascii="Calibri" w:cs="Calibri" w:eastAsia="Calibri" w:hAnsi="Calibri"/>
                <w:i w:val="1"/>
                <w:rtl w:val="0"/>
              </w:rPr>
              <w:t xml:space="preserve">aller</w:t>
            </w:r>
            <w:r w:rsidDel="00000000" w:rsidR="00000000" w:rsidRPr="00000000">
              <w:rPr>
                <w:rFonts w:ascii="Calibri" w:cs="Calibri" w:eastAsia="Calibri" w:hAnsi="Calibri"/>
                <w:rtl w:val="0"/>
              </w:rPr>
              <w:t xml:space="preserve">, numbers 20‐100 and café vocabulary.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Daily Warm‐up Exercises: ex; identifying vocabulary, conjugating </w:t>
            </w:r>
            <w:r w:rsidDel="00000000" w:rsidR="00000000" w:rsidRPr="00000000">
              <w:rPr>
                <w:rFonts w:ascii="Calibri" w:cs="Calibri" w:eastAsia="Calibri" w:hAnsi="Calibri"/>
                <w:i w:val="1"/>
                <w:rtl w:val="0"/>
              </w:rPr>
              <w:t xml:space="preserve">aller </w:t>
            </w:r>
            <w:r w:rsidDel="00000000" w:rsidR="00000000" w:rsidRPr="00000000">
              <w:rPr>
                <w:rFonts w:ascii="Calibri" w:cs="Calibri" w:eastAsia="Calibri" w:hAnsi="Calibri"/>
                <w:rtl w:val="0"/>
              </w:rPr>
              <w:t xml:space="preserve">in a sentence, complete math problems, fill in the blank with the correct article.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b w:val="1"/>
                <w:rtl w:val="0"/>
              </w:rPr>
              <w:t xml:space="preserve">Performance Assessments: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0160" cy="10160"/>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10160" cy="10160"/>
                  <wp:effectExtent b="0" l="0" r="0" t="0"/>
                  <wp:docPr id="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10160" cy="60960"/>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160" cy="60960"/>
                          </a:xfrm>
                          <a:prstGeom prst="rect"/>
                          <a:ln/>
                        </pic:spPr>
                      </pic:pic>
                    </a:graphicData>
                  </a:graphic>
                </wp:inline>
              </w:drawing>
            </w:r>
            <w:r w:rsidDel="00000000" w:rsidR="00000000" w:rsidRPr="00000000">
              <w:rPr>
                <w:rFonts w:ascii="Calibri" w:cs="Calibri" w:eastAsia="Calibri" w:hAnsi="Calibri"/>
                <w:rtl w:val="0"/>
              </w:rPr>
              <w:t xml:space="preserve">‐  Café Menu Project: Create a menu for a café and a skit that would take place at your café.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7">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r>
            <w:r w:rsidDel="00000000" w:rsidR="00000000" w:rsidRPr="00000000">
              <w:rPr>
                <w:rtl w:val="0"/>
              </w:rPr>
            </w:r>
          </w:p>
          <w:p w:rsidR="00000000" w:rsidDel="00000000" w:rsidP="00000000" w:rsidRDefault="00000000" w:rsidRPr="00000000" w14:paraId="00000088">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 xml:space="preserve">‐  Journal entries on what</w:t>
            </w:r>
            <w:r w:rsidDel="00000000" w:rsidR="00000000" w:rsidRPr="00000000">
              <w:rPr>
                <w:rtl w:val="0"/>
              </w:rPr>
            </w:r>
          </w:p>
          <w:p w:rsidR="00000000" w:rsidDel="00000000" w:rsidP="00000000" w:rsidRDefault="00000000" w:rsidRPr="00000000" w14:paraId="00000089">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 xml:space="preserve">students like to eat, what French foods they might want to try.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A">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w:t>
            </w:r>
            <w:r w:rsidDel="00000000" w:rsidR="00000000" w:rsidRPr="00000000">
              <w:rPr>
                <w:rFonts w:ascii="Calibri" w:cs="Calibri" w:eastAsia="Calibri" w:hAnsi="Calibri"/>
                <w:i w:val="1"/>
                <w:rtl w:val="0"/>
              </w:rPr>
              <w:t xml:space="preserve">Je n’aime pas / J’aime </w:t>
            </w:r>
            <w:r w:rsidDel="00000000" w:rsidR="00000000" w:rsidRPr="00000000">
              <w:rPr>
                <w:rFonts w:ascii="Calibri" w:cs="Calibri" w:eastAsia="Calibri" w:hAnsi="Calibri"/>
                <w:rtl w:val="0"/>
              </w:rPr>
              <w:t xml:space="preserve">poster. </w:t>
            </w: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Food items for breakfast, lunch, and dinner</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Maintaining good health </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Present  tense verbs </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Adjectives </w:t>
            </w:r>
          </w:p>
        </w:tc>
        <w:tc>
          <w:tcPr>
            <w:gridSpan w:val="2"/>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Numbers</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Colors</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Adjectives </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Verbs</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Additional oral and written practice on content for this unit</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t xml:space="preserve">Written, auditory and role playing activities using text, personal white boards, and ancillaries</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t xml:space="preserve">Use practice sheets to re-introduce/review vocabulary and grammar presented in previous units/years</w:t>
            </w:r>
          </w:p>
        </w:tc>
      </w:tr>
      <w:tr>
        <w:trPr>
          <w:cantSplit w:val="0"/>
          <w:trHeight w:val="120" w:hRule="atLeast"/>
          <w:tblHeader w:val="0"/>
        </w:trPr>
        <w:tc>
          <w:tcPr>
            <w:gridSpan w:val="6"/>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2Career Readiness, Life Literacies, and Key Skills</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9.4.8.GCA.1: Model how to navigate cultural differences with sensitivity and respect (e.g., 1.5.8.C1a).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9.4.8.GCA.2: Demonstrate openness to diverse ideas and perspectives through active discussions to achieve a group goal.</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9.4.8.TL.4: Synthesize and publish information about a local or global issue or event (e.g., MSLS4-5, 6.1.8.CivicsPI.3).</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Monde Francophone – excerpts from Bien Dit  </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Grammar and Vocabulary Workbook  </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t xml:space="preserve">Bien Dit website</w:t>
            </w:r>
            <w:r w:rsidDel="00000000" w:rsidR="00000000" w:rsidRPr="00000000">
              <w:rPr>
                <w:rFonts w:ascii="Calibri" w:cs="Calibri" w:eastAsia="Calibri" w:hAnsi="Calibri"/>
                <w:b w:val="1"/>
                <w:sz w:val="30"/>
                <w:szCs w:val="30"/>
                <w:rtl w:val="0"/>
              </w:rPr>
              <w:tab/>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English Language Arts: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numPr>
                <w:ilvl w:val="0"/>
                <w:numId w:val="2"/>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CB">
            <w:pPr>
              <w:numPr>
                <w:ilvl w:val="0"/>
                <w:numId w:val="2"/>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CC">
            <w:pPr>
              <w:numPr>
                <w:ilvl w:val="0"/>
                <w:numId w:val="2"/>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10">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1" w:type="default"/>
      <w:footerReference r:id="rId12"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forms/d/1SW2D1aDmhBKEISuIBYrSwhGonjUki5g62NgzXqndB6A/viewform?usp=send_form" TargetMode="Externa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9YCF+wnGfrylCj5UKo3/5M2fpw==">AMUW2mW9gRK6RMH+c8YC5AzkVlAMVAL+n4cwBqG7fCgY8cDNwmve+//fNMPTjcj2NIJK4/NWJkT+/e9uDTezRW8XF+uIcaXVWIfYIbf3vIu5Mwyv7M9Y1G3RI3DbKv+EIZhQbi6agIa7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