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6 Unit 4: La Famille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7-8</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talk about their family or families in general and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-Family life and attitudes vary from culture to culture.</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do family structures vary from culture to culture?</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How does learning about these differences help me to better understand my own culture?</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learning an additional language help you become a global citizen and enhance your own life?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the skills you need in order to understand or communicate in French?</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the cultures of the world compare to those of the United States?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the French language compare to American English?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does the study of an additional language and its cultures teach me about myself?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the family</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family members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Express family relationships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families in the U.S., France and francophone countries around the world.</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 and songs</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p>
          <w:tbl>
            <w:tblPr>
              <w:tblStyle w:val="Table2"/>
              <w:tblW w:w="3062.0"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80"/>
              <w:gridCol w:w="2982"/>
              <w:tblGridChange w:id="0">
                <w:tblGrid>
                  <w:gridCol w:w="80"/>
                  <w:gridCol w:w="2982"/>
                </w:tblGrid>
              </w:tblGridChange>
            </w:tblGrid>
            <w:tr>
              <w:trPr>
                <w:cantSplit w:val="0"/>
                <w:tblHeader w:val="0"/>
              </w:trPr>
              <w:tc>
                <w:tcPr>
                  <w:vAlign w:val="center"/>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Quiz</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Formative: Instructional/Assessment Focus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q/a</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 surveys and analysis of results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Oral identification and description of classroom objects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Teacher-led conversation                        </w:t>
                  </w:r>
                </w:p>
              </w:tc>
            </w:tr>
            <w:tr>
              <w:trPr>
                <w:cantSplit w:val="0"/>
                <w:tblHeader w:val="0"/>
              </w:trPr>
              <w:tc>
                <w:tcPr>
                  <w:shd w:fill="f9f9f8" w:val="clear"/>
                  <w:vAlign w:val="cente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shd w:fill="f9f9f8" w:val="clear"/>
                  <w:tcMar>
                    <w:top w:w="150.0" w:type="dxa"/>
                    <w:left w:w="150.0" w:type="dxa"/>
                    <w:bottom w:w="150.0" w:type="dxa"/>
                    <w:right w:w="150.0" w:type="dxa"/>
                  </w:tcMar>
                  <w:vAlign w:val="cente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Summative: Instructional/Assessment Focus</w:t>
                  </w:r>
                </w:p>
              </w:tc>
            </w:tr>
          </w:tbl>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the family</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comparisons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report –day,date,weather</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Use of numbers in context of home and family members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Names and ages of family members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Asking for classroom supplies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Reinforcement through shared vocabulary items between home and school</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Describe where a family member is within a house or apartment</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Incentives to USE recently acquired vocab (Points, stamps or other rewards)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 est…? game</w:t>
            </w:r>
          </w:p>
        </w:tc>
      </w:tr>
      <w:tr>
        <w:trPr>
          <w:cantSplit w:val="0"/>
          <w:trHeight w:val="120" w:hRule="atLeast"/>
          <w:tblHeader w:val="0"/>
        </w:trPr>
        <w:tc>
          <w:tcPr>
            <w:gridSpan w:val="6"/>
          </w:tcPr>
          <w:p w:rsidR="00000000" w:rsidDel="00000000" w:rsidP="00000000" w:rsidRDefault="00000000" w:rsidRPr="00000000" w14:paraId="000000B7">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Songs</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Laptops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Videos and Internet short videos</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Interactive Smart Board</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