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6 Unit 2: L’ecole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2-4</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talk about their immediate surroundings and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The purpose of language study is to communicate so I can understand others, and they can understand me. </w:t>
              <w:br w:type="textWrapping"/>
              <w:t xml:space="preserve">- 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learning an additional language help you become a global citizen and enhance your own life?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the skills you need in order to understand or communicate in French?</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the cultures of the world compare to those of the United States?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the French language compare to American English?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does the study of an additional language and its cultures teach me about myself?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school and classroom</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classroom objects, features, and people.</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school life and facilities in the U.S. and francophone countries around the world.</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classroom survival expressions in context.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7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7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 and songs</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q/a</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 surveys and analysis of results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Oral identification and description of classroom objects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Teacher-led conversation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Instructional/Assessment Focus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and report on education in francophone countries (action based, problem solving)</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school and classroom</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Daily report –day,date,weather</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tc>
      </w:tr>
      <w:tr>
        <w:trPr>
          <w:cantSplit w:val="0"/>
          <w:trHeight w:val="120" w:hRule="atLeast"/>
          <w:tblHeader w:val="0"/>
        </w:trPr>
        <w:tc>
          <w:tcPr>
            <w:gridSpan w:val="6"/>
          </w:tcPr>
          <w:p w:rsidR="00000000" w:rsidDel="00000000" w:rsidP="00000000" w:rsidRDefault="00000000" w:rsidRPr="00000000" w14:paraId="000000A5">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Songs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