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4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105"/>
        <w:gridCol w:w="3180"/>
        <w:gridCol w:w="105"/>
        <w:gridCol w:w="4260"/>
        <w:gridCol w:w="2970"/>
        <w:tblGridChange w:id="0">
          <w:tblGrid>
            <w:gridCol w:w="3825"/>
            <w:gridCol w:w="105"/>
            <w:gridCol w:w="3180"/>
            <w:gridCol w:w="105"/>
            <w:gridCol w:w="4260"/>
            <w:gridCol w:w="297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2nd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2: ¿Qué ves en la escuela?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December - 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unit, students will explore school life and identify everyday school objects by name and color at the novice level.  Students will develop interpretive skills by listening and responding physically to the teacher's direction, commands and instructions. Within the context, students will learn about schools in Hispanic Countries and compared it to schools in the United States. </w:t>
            </w:r>
          </w:p>
        </w:tc>
      </w:tr>
      <w:tr>
        <w:trPr>
          <w:cantSplit w:val="0"/>
          <w:trHeight w:val="2175" w:hRule="atLeast"/>
          <w:tblHeader w:val="0"/>
        </w:trPr>
        <w:tc>
          <w:tcPr>
            <w:gridSpan w:val="6"/>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i w:val="1"/>
                <w:rtl w:val="0"/>
              </w:rPr>
              <w:t xml:space="preserve">Students will understand that </w:t>
            </w:r>
            <w:r w:rsidDel="00000000" w:rsidR="00000000" w:rsidRPr="00000000">
              <w:rPr>
                <w:rtl w:val="0"/>
              </w:rPr>
              <w:t xml:space="preserve">schooling varies within a culture, as well as between cultures.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Children will understand how they prepare for school and their activities reflect their culture and might be similar and/or different from those of a student in a Spanish speaking country.</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listening and observing are important when learning a language.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nouns and articles in Spanish are gender and number specific.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Students will understand that listening and observing are important when  learning a language.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we communicate in another language? </w:t>
              <w:tab/>
              <w:tab/>
              <w:tab/>
              <w:tab/>
              <w:tab/>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is my classroom the same and/or different from a classroom in a Hispanic Country? </w:t>
              <w:tab/>
              <w:tab/>
              <w:tab/>
              <w:tab/>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describe things in my classroom?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I describe my school?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identify the everyday objects I use at school?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do I provide a detailed description of objects I need to use in the classroom?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Who are the important people in a school?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are schools different in the US compared to schools in Hispanic Countries?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220" w:hRule="atLeast"/>
          <w:tblHeader w:val="0"/>
        </w:trPr>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Skills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Activities/Strategies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Evidence (Assessments)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Commands and instructions for basic classroom procedures in Spanish</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Classroom objects in Spanish</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to describe objects by size and color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Parts/locations of the school in Spanish (classroom, bathroom, office)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Names and titles of important people in the school  (teacher &amp; principal; Ms, Miss, Mrs, Mr.)</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ask and answer important school related questions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compare and contrast schools in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Hispanic Countries to schools in the US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Numbers in Spanish to count objects </w:t>
            </w:r>
          </w:p>
        </w:tc>
        <w:tc>
          <w:tcPr>
            <w:gridSpan w:val="2"/>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t xml:space="preserve">Identify classroom objects in Spanish</w:t>
              <w:tab/>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Correctly spell vocabulary related to the classroom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Give and follow directions that will lead them to the different parts of the school</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who are the  school personnel and where you would find them in a school (teacher &amp; principal; classroom, bathroom, office)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Compare and contrast schools in Hispanic Countries to schools in the US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Counts objects by quantity using the question “cuantos hay?”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Use the verb “tener” to express I have…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Describe what materials they have and use on a daily basis in school</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Correctly use nouns in Spanish with accurate usage of gender and number</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classroom objects by size, quantity and color</w:t>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Use powerpoint presentation to introduce vocabulary </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Songs online/CD’s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Flashcards/picture of places/people in a school</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You tube clips/Videos about schools in Latin America</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Authentic pictures of schools in hispanic countries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Classroom object flashcards </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Activities to review commands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Teacher generated materials related to content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Games: memory/ matching, Simon says with commands, Adivina, Matamoscas, Bingo, What’s missing? (whole group or small group, Pictionary, Eye Spy, Headband game, Charades, etc.</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Classroom based activities using technology tools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Rule="auto"/>
              <w:ind w:left="0" w:firstLine="0"/>
              <w:rPr>
                <w:u w:val="none"/>
              </w:rPr>
            </w:pPr>
            <w:r w:rsidDel="00000000" w:rsidR="00000000" w:rsidRPr="00000000">
              <w:rPr>
                <w:rtl w:val="0"/>
              </w:rPr>
              <w:t xml:space="preserve">Label classroom objects in the classroom</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Rule="auto"/>
              <w:ind w:left="0" w:firstLine="0"/>
              <w:rPr>
                <w:u w:val="none"/>
              </w:rPr>
            </w:pPr>
            <w:r w:rsidDel="00000000" w:rsidR="00000000" w:rsidRPr="00000000">
              <w:rPr>
                <w:rtl w:val="0"/>
              </w:rPr>
              <w:t xml:space="preserve">Display poster of commands</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Rule="auto"/>
              <w:ind w:left="0" w:firstLine="0"/>
              <w:rPr>
                <w:u w:val="none"/>
              </w:rPr>
            </w:pPr>
            <w:r w:rsidDel="00000000" w:rsidR="00000000" w:rsidRPr="00000000">
              <w:rPr>
                <w:rtl w:val="0"/>
              </w:rPr>
              <w:t xml:space="preserve">Review colors and numbers to describe objects.</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Interpretive:</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Use practice worksheets on topics in this unit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Match pictures with vocabulary words </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Watch clips on youtube about school related topics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Interpersonal:</w:t>
            </w: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groups, students can describe how many classroom objects are in the room.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In pairs, give students flashcards to practice classroom objects, colors numbers, and the verb “tener.”</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Class discussion:  Compare and contrast schools in the US to schools in hispanic countries.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Mochila Project: Give students copies of a bookbag or students can draw it; inside the bookbag students are to draw and identify as many classroom objects as the can.</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Oral Presentation</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Completed practice worksheets</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 on vocabulary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 Assessment:</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Rule="auto"/>
              <w:ind w:left="0" w:firstLine="0"/>
              <w:rPr/>
            </w:pPr>
            <w:r w:rsidDel="00000000" w:rsidR="00000000" w:rsidRPr="00000000">
              <w:rPr>
                <w:rtl w:val="0"/>
              </w:rPr>
              <w:t xml:space="preserve">Mochila Project: Give students copies of a bookbag or students can draw it; inside the bookbag students are to draw and identify as many classroom objects are the can.</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Classroom Objects </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Commands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Previous Year- 1st grade</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classroom objects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numbers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commands</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colors </w:t>
            </w:r>
          </w:p>
        </w:tc>
        <w:tc>
          <w:tcPr>
            <w:gridSpan w:val="2"/>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D7">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D8">
            <w:pPr>
              <w:rPr>
                <w:b w:val="1"/>
                <w:u w:val="single"/>
              </w:rPr>
            </w:pPr>
            <w:r w:rsidDel="00000000" w:rsidR="00000000" w:rsidRPr="00000000">
              <w:rPr>
                <w:rtl w:val="0"/>
              </w:rPr>
            </w:r>
          </w:p>
          <w:p w:rsidR="00000000" w:rsidDel="00000000" w:rsidP="00000000" w:rsidRDefault="00000000" w:rsidRPr="00000000" w14:paraId="000000D9">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A">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B">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C">
            <w:pPr>
              <w:spacing w:after="200" w:line="276" w:lineRule="auto"/>
              <w:rPr/>
            </w:pPr>
            <w:r w:rsidDel="00000000" w:rsidR="00000000" w:rsidRPr="00000000">
              <w:rPr>
                <w:rtl w:val="0"/>
              </w:rPr>
              <w:t xml:space="preserve">9.4.2.CT.3: Use a variety of types of thinking to solve problems.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Puppets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Felt board</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Flashcards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CD’s - Songs on classroom objects/schools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88" w:lineRule="auto"/>
              <w:rPr>
                <w:u w:val="none"/>
              </w:rPr>
            </w:pPr>
            <w:r w:rsidDel="00000000" w:rsidR="00000000" w:rsidRPr="00000000">
              <w:rPr>
                <w:rtl w:val="0"/>
              </w:rPr>
              <w:t xml:space="preserve">Whiteboards with markers </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88" w:lineRule="auto"/>
              <w:rPr>
                <w:u w:val="none"/>
              </w:rPr>
            </w:pPr>
            <w:r w:rsidDel="00000000" w:rsidR="00000000" w:rsidRPr="00000000">
              <w:rPr>
                <w:rtl w:val="0"/>
              </w:rPr>
              <w:t xml:space="preserve">Worksheet activities </w:t>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Interactive games/websites </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88" w:lineRule="auto"/>
              <w:rPr/>
            </w:pPr>
            <w:r w:rsidDel="00000000" w:rsidR="00000000" w:rsidRPr="00000000">
              <w:rPr>
                <w:rtl w:val="0"/>
              </w:rPr>
              <w:t xml:space="preserve">Smartboard: Display powerpoints with pictures and vocabulary</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Magic Box with tangible items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NJSLS ELA</w:t>
            </w:r>
          </w:p>
          <w:p w:rsidR="00000000" w:rsidDel="00000000" w:rsidP="00000000" w:rsidRDefault="00000000" w:rsidRPr="00000000" w14:paraId="000000F4">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F5">
            <w:pPr>
              <w:rPr>
                <w:b w:val="1"/>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b w:val="1"/>
              </w:rPr>
            </w:pPr>
            <w:r w:rsidDel="00000000" w:rsidR="00000000" w:rsidRPr="00000000">
              <w:rPr>
                <w:rtl w:val="0"/>
              </w:rPr>
              <w:t xml:space="preserve">RL.2.4. Describe how words and phrases (e.g., regular beats, alliteration, rhymes, repeated lines) supply rhythm and meaning in a story, poem, or song</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6" w:type="default"/>
      <w:foot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