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jc w:val="center"/>
              <w:rPr>
                <w:b w:val="1"/>
                <w:i w:val="1"/>
                <w:color w:val="ffffff"/>
                <w:sz w:val="28"/>
                <w:szCs w:val="28"/>
              </w:rPr>
            </w:pPr>
            <w:r w:rsidDel="00000000" w:rsidR="00000000" w:rsidRPr="00000000">
              <w:rPr>
                <w:b w:val="1"/>
                <w:i w:val="1"/>
                <w:color w:val="ffffff"/>
                <w:sz w:val="28"/>
                <w:szCs w:val="28"/>
                <w:rtl w:val="0"/>
              </w:rPr>
              <w:t xml:space="preserve">Theatre Production</w:t>
            </w:r>
          </w:p>
          <w:p w:rsidR="00000000" w:rsidDel="00000000" w:rsidP="00000000" w:rsidRDefault="00000000" w:rsidRPr="00000000" w14:paraId="00000003">
            <w:pPr>
              <w:jc w:val="center"/>
              <w:rPr>
                <w:b w:val="1"/>
                <w:i w:val="1"/>
                <w:color w:val="ffffff"/>
                <w:sz w:val="28"/>
                <w:szCs w:val="28"/>
              </w:rPr>
            </w:pPr>
            <w:r w:rsidDel="00000000" w:rsidR="00000000" w:rsidRPr="00000000">
              <w:rPr>
                <w:b w:val="1"/>
                <w:i w:val="1"/>
                <w:color w:val="ffffff"/>
                <w:sz w:val="28"/>
                <w:szCs w:val="28"/>
                <w:rtl w:val="0"/>
              </w:rPr>
              <w:t xml:space="preserve">Unit 1: Mastering Your Craft</w:t>
            </w:r>
          </w:p>
          <w:p w:rsidR="00000000" w:rsidDel="00000000" w:rsidP="00000000" w:rsidRDefault="00000000" w:rsidRPr="00000000" w14:paraId="00000004">
            <w:pPr>
              <w:jc w:val="center"/>
              <w:rPr>
                <w:b w:val="1"/>
                <w:i w:val="1"/>
              </w:rPr>
            </w:pPr>
            <w:r w:rsidDel="00000000" w:rsidR="00000000" w:rsidRPr="00000000">
              <w:rPr>
                <w:b w:val="1"/>
                <w:i w:val="1"/>
                <w:color w:val="ffffff"/>
                <w:sz w:val="28"/>
                <w:szCs w:val="28"/>
                <w:rtl w:val="0"/>
              </w:rPr>
              <w:t xml:space="preserve">Timeline: 2 Weeks</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(Write the overall NJSLS standards that are most applicable to this unit.).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Connecting</w:t>
            </w:r>
          </w:p>
          <w:p w:rsidR="00000000" w:rsidDel="00000000" w:rsidP="00000000" w:rsidRDefault="00000000" w:rsidRPr="00000000" w14:paraId="0000000D">
            <w:pPr>
              <w:rPr/>
            </w:pPr>
            <w:r w:rsidDel="00000000" w:rsidR="00000000" w:rsidRPr="00000000">
              <w:rPr>
                <w:rtl w:val="0"/>
              </w:rPr>
              <w:t xml:space="preserve">Anchor Standard 10: Synthesize and relate knowledge and personal experience to make art.</w:t>
            </w:r>
          </w:p>
          <w:p w:rsidR="00000000" w:rsidDel="00000000" w:rsidP="00000000" w:rsidRDefault="00000000" w:rsidRPr="00000000" w14:paraId="0000000E">
            <w:pPr>
              <w:rPr/>
            </w:pPr>
            <w:r w:rsidDel="00000000" w:rsidR="00000000" w:rsidRPr="00000000">
              <w:rPr>
                <w:rtl w:val="0"/>
              </w:rPr>
              <w:t xml:space="preserve">Anchor Standard 11: Relate artistic ideas and works with societal, cultural, and historical context to deepen understanding.</w:t>
            </w:r>
          </w:p>
          <w:p w:rsidR="00000000" w:rsidDel="00000000" w:rsidP="00000000" w:rsidRDefault="00000000" w:rsidRPr="00000000" w14:paraId="0000000F">
            <w:pP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15">
            <w:pPr>
              <w:rPr>
                <w:color w:val="1f497d"/>
                <w:sz w:val="20"/>
                <w:szCs w:val="20"/>
              </w:rPr>
            </w:pPr>
            <w:r w:rsidDel="00000000" w:rsidR="00000000" w:rsidRPr="00000000">
              <w:rPr>
                <w:b w:val="1"/>
                <w:color w:val="1f497d"/>
                <w:sz w:val="20"/>
                <w:szCs w:val="20"/>
                <w:u w:val="single"/>
                <w:rtl w:val="0"/>
              </w:rPr>
              <w:t xml:space="preserve">Rationale and Transfer Goals </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This section addresses how students will use what they learned for some useful accomplishment.</w:t>
            </w:r>
            <w:r w:rsidDel="00000000" w:rsidR="00000000" w:rsidRPr="00000000">
              <w:rPr>
                <w:color w:val="1f497d"/>
                <w:sz w:val="20"/>
                <w:szCs w:val="20"/>
                <w:rtl w:val="0"/>
              </w:rPr>
              <w:t xml:space="preserve">  </w:t>
            </w:r>
            <w:r w:rsidDel="00000000" w:rsidR="00000000" w:rsidRPr="00000000">
              <w:rPr>
                <w:i w:val="1"/>
                <w:color w:val="1f497d"/>
                <w:sz w:val="20"/>
                <w:szCs w:val="20"/>
                <w:rtl w:val="0"/>
              </w:rPr>
              <w:t xml:space="preserve">Use a short narrative form to explain what students are learning and learning to do in this unit as a whole experience.  Transfer of knowledge should 1) be based on mastery, not just rote knowledge; 2) be connected to real world contexts and/or study of other subjects (How will this help me in life, K-12 school, college, or career?); and 3) offer opportunities to develop 21</w:t>
            </w:r>
            <w:r w:rsidDel="00000000" w:rsidR="00000000" w:rsidRPr="00000000">
              <w:rPr>
                <w:i w:val="1"/>
                <w:color w:val="1f497d"/>
                <w:sz w:val="20"/>
                <w:szCs w:val="20"/>
                <w:vertAlign w:val="superscript"/>
                <w:rtl w:val="0"/>
              </w:rPr>
              <w:t xml:space="preserve">st</w:t>
            </w:r>
            <w:r w:rsidDel="00000000" w:rsidR="00000000" w:rsidRPr="00000000">
              <w:rPr>
                <w:i w:val="1"/>
                <w:color w:val="1f497d"/>
                <w:sz w:val="20"/>
                <w:szCs w:val="20"/>
                <w:rtl w:val="0"/>
              </w:rPr>
              <w:t xml:space="preserve"> century skills and habits of mind.  You may wish to include overarching questions or beliefs that guide the whole year’s work, such as “We are learning to read and write with thought and purpose.”</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Demonstrating theatrical classroom awareness and personal resources that will allow students to be comfortable in the classroom with peers and the teacher. Reviewing and implementing theatre safety in regards to space: personal/others’, respecting each other, and stage/classroom safety. Mastering performance abilities within one's own body and voice. Participation of Theatre in everyday life and communities near and far, with demonstration and understanding of how one can become involved and/or an advocate.</w:t>
            </w:r>
          </w:p>
          <w:p w:rsidR="00000000" w:rsidDel="00000000" w:rsidP="00000000" w:rsidRDefault="00000000" w:rsidRPr="00000000" w14:paraId="00000018">
            <w:pPr>
              <w:rPr>
                <w:sz w:val="20"/>
                <w:szCs w:val="20"/>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1E">
            <w:pPr>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What are the most essential conclusions that students should be guided towards throughout this unit?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Theatre artists (Students) allow awareness of interrelationships between self and others to influence and inform their work.</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Theatre artists understand and can communicate their creative process as they analyze the way the  world may be understood.</w:t>
            </w:r>
          </w:p>
          <w:p w:rsidR="00000000" w:rsidDel="00000000" w:rsidP="00000000" w:rsidRDefault="00000000" w:rsidRPr="00000000" w14:paraId="00000023">
            <w:pP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29">
            <w:pPr>
              <w:rPr>
                <w:color w:val="1f497d"/>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What are the questions that will guide critical thinking about the content of this unit?  Essential questions should, in part, be thought-starters toward the enduring understandings.</w:t>
            </w:r>
          </w:p>
          <w:p w:rsidR="00000000" w:rsidDel="00000000" w:rsidP="00000000" w:rsidRDefault="00000000" w:rsidRPr="00000000" w14:paraId="0000002A">
            <w:pPr>
              <w:rPr>
                <w:color w:val="1f497d"/>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What happens when theatre artists foster understanding between self and others through critical awareness, social responsibility, and the exploration of empathy?</w:t>
              <w:br w:type="textWrapping"/>
            </w:r>
          </w:p>
          <w:p w:rsidR="00000000" w:rsidDel="00000000" w:rsidP="00000000" w:rsidRDefault="00000000" w:rsidRPr="00000000" w14:paraId="0000002C">
            <w:pPr>
              <w:rPr/>
            </w:pPr>
            <w:r w:rsidDel="00000000" w:rsidR="00000000" w:rsidRPr="00000000">
              <w:rPr>
                <w:rtl w:val="0"/>
              </w:rPr>
              <w:t xml:space="preserve">What happens when theatre artists allow an understanding of themselves and the world to inform perceptions about theatre and the purpose of their work?</w:t>
            </w:r>
          </w:p>
          <w:p w:rsidR="00000000" w:rsidDel="00000000" w:rsidP="00000000" w:rsidRDefault="00000000" w:rsidRPr="00000000" w14:paraId="0000002D">
            <w:pP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33">
            <w:pPr>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36">
            <w:pPr>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39">
            <w:pPr>
              <w:jc w:val="center"/>
              <w:rPr>
                <w:b w:val="1"/>
              </w:rPr>
            </w:pPr>
            <w:r w:rsidDel="00000000" w:rsidR="00000000" w:rsidRPr="00000000">
              <w:rPr>
                <w:b w:val="1"/>
                <w:rtl w:val="0"/>
              </w:rPr>
              <w:t xml:space="preserve">Content</w:t>
            </w:r>
          </w:p>
          <w:p w:rsidR="00000000" w:rsidDel="00000000" w:rsidP="00000000" w:rsidRDefault="00000000" w:rsidRPr="00000000" w14:paraId="0000003A">
            <w:pP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3B">
            <w:pPr>
              <w:jc w:val="center"/>
              <w:rPr>
                <w:b w:val="1"/>
              </w:rPr>
            </w:pPr>
            <w:r w:rsidDel="00000000" w:rsidR="00000000" w:rsidRPr="00000000">
              <w:rPr>
                <w:b w:val="1"/>
                <w:rtl w:val="0"/>
              </w:rPr>
              <w:t xml:space="preserve">Skills</w:t>
            </w:r>
          </w:p>
          <w:p w:rsidR="00000000" w:rsidDel="00000000" w:rsidP="00000000" w:rsidRDefault="00000000" w:rsidRPr="00000000" w14:paraId="0000003C">
            <w:pP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3E">
            <w:pPr>
              <w:jc w:val="center"/>
              <w:rPr>
                <w:b w:val="1"/>
              </w:rPr>
            </w:pPr>
            <w:r w:rsidDel="00000000" w:rsidR="00000000" w:rsidRPr="00000000">
              <w:rPr>
                <w:b w:val="1"/>
                <w:rtl w:val="0"/>
              </w:rPr>
              <w:t xml:space="preserve">Activities/Strategies</w:t>
            </w:r>
          </w:p>
          <w:p w:rsidR="00000000" w:rsidDel="00000000" w:rsidP="00000000" w:rsidRDefault="00000000" w:rsidRPr="00000000" w14:paraId="0000003F">
            <w:pP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41">
            <w:pPr>
              <w:jc w:val="center"/>
              <w:rPr>
                <w:b w:val="1"/>
              </w:rPr>
            </w:pPr>
            <w:r w:rsidDel="00000000" w:rsidR="00000000" w:rsidRPr="00000000">
              <w:rPr>
                <w:b w:val="1"/>
                <w:rtl w:val="0"/>
              </w:rPr>
              <w:t xml:space="preserve">Evidence (Assessments)</w:t>
            </w:r>
          </w:p>
          <w:p w:rsidR="00000000" w:rsidDel="00000000" w:rsidP="00000000" w:rsidRDefault="00000000" w:rsidRPr="00000000" w14:paraId="00000042">
            <w:pPr>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Students will know how to work as part of a group.</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Students will know how to speak and introduce themselves to a group.</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Students will know how their actions can affect the actions of the group.</w:t>
            </w:r>
          </w:p>
          <w:p w:rsidR="00000000" w:rsidDel="00000000" w:rsidP="00000000" w:rsidRDefault="00000000" w:rsidRPr="00000000" w14:paraId="00000049">
            <w:pPr>
              <w:rPr/>
            </w:pPr>
            <w:r w:rsidDel="00000000" w:rsidR="00000000" w:rsidRPr="00000000">
              <w:rPr>
                <w:rtl w:val="0"/>
              </w:rPr>
            </w:r>
          </w:p>
        </w:tc>
        <w:tc>
          <w:tcPr>
            <w:gridSpan w:val="2"/>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Students will be able to work together towards a common goal.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Students will be able to introduce themselves to the group.</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Students will understand how important they are as an individual to the workings of a group. </w:t>
            </w:r>
          </w:p>
        </w:tc>
        <w:tc>
          <w:tcPr>
            <w:gridSpan w:val="2"/>
          </w:tcPr>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Different Circles of Introduction</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People Patterns</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Stranded on an island</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People Bingo</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Partner interviews and Introductions</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0" w:firstLine="0"/>
              <w:rPr/>
            </w:pPr>
            <w:r w:rsidDel="00000000" w:rsidR="00000000" w:rsidRPr="00000000">
              <w:rPr>
                <w:rtl w:val="0"/>
              </w:rPr>
            </w:r>
          </w:p>
        </w:tc>
        <w:tc>
          <w:tcPr/>
          <w:p w:rsidR="00000000" w:rsidDel="00000000" w:rsidP="00000000" w:rsidRDefault="00000000" w:rsidRPr="00000000" w14:paraId="0000005E">
            <w:pPr>
              <w:ind w:left="0" w:firstLine="0"/>
              <w:rPr/>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t xml:space="preserve">Participation in the group activities</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ind w:left="0" w:firstLine="0"/>
              <w:rPr/>
            </w:pPr>
            <w:r w:rsidDel="00000000" w:rsidR="00000000" w:rsidRPr="00000000">
              <w:rPr>
                <w:rtl w:val="0"/>
              </w:rPr>
              <w:t xml:space="preserve">Performance of their individual self.</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t xml:space="preserve">Performance with their partner.</w:t>
            </w:r>
          </w:p>
        </w:tc>
      </w:tr>
      <w:tr>
        <w:trPr>
          <w:cantSplit w:val="0"/>
          <w:trHeight w:val="120" w:hRule="atLeast"/>
          <w:tblHeader w:val="0"/>
        </w:trPr>
        <w:tc>
          <w:tcPr>
            <w:gridSpan w:val="6"/>
            <w:shd w:fill="1f497d" w:val="clear"/>
          </w:tcPr>
          <w:p w:rsidR="00000000" w:rsidDel="00000000" w:rsidP="00000000" w:rsidRDefault="00000000" w:rsidRPr="00000000" w14:paraId="00000064">
            <w:pPr>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p w:rsidR="00000000" w:rsidDel="00000000" w:rsidP="00000000" w:rsidRDefault="00000000" w:rsidRPr="00000000" w14:paraId="00000065">
            <w:pPr>
              <w:jc w:val="center"/>
              <w:rPr>
                <w:b w:val="1"/>
                <w:color w:val="ffffff"/>
                <w:sz w:val="24"/>
                <w:szCs w:val="24"/>
              </w:rPr>
            </w:pPr>
            <w:r w:rsidDel="00000000" w:rsidR="00000000" w:rsidRPr="00000000">
              <w:rPr>
                <w:b w:val="1"/>
                <w:color w:val="ffffff"/>
                <w:sz w:val="24"/>
                <w:szCs w:val="24"/>
                <w:rtl w:val="0"/>
              </w:rPr>
              <w:t xml:space="preserve">Where does this unit spiral back to other units from this or previous years</w:t>
            </w:r>
          </w:p>
          <w:p w:rsidR="00000000" w:rsidDel="00000000" w:rsidP="00000000" w:rsidRDefault="00000000" w:rsidRPr="00000000" w14:paraId="00000066">
            <w:pPr>
              <w:jc w:val="center"/>
              <w:rPr/>
            </w:pPr>
            <w:r w:rsidDel="00000000" w:rsidR="00000000" w:rsidRPr="00000000">
              <w:rPr>
                <w:b w:val="1"/>
                <w:color w:val="ffffff"/>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6C">
            <w:pP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6E">
            <w:pP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70">
            <w:pP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72">
            <w:pPr>
              <w:ind w:left="0" w:firstLine="0"/>
              <w:rPr/>
            </w:pPr>
            <w:r w:rsidDel="00000000" w:rsidR="00000000" w:rsidRPr="00000000">
              <w:rPr>
                <w:rtl w:val="0"/>
              </w:rPr>
              <w:t xml:space="preserve">Connecting and establishing relations with each other, school, and the classroom space.</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t xml:space="preserve">Learning how to interact with each other respectfully and learning cooperatively.</w:t>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t xml:space="preserve">Defining what it means to be a part of a group. </w:t>
            </w:r>
          </w:p>
          <w:p w:rsidR="00000000" w:rsidDel="00000000" w:rsidP="00000000" w:rsidRDefault="00000000" w:rsidRPr="00000000" w14:paraId="00000077">
            <w:pPr>
              <w:ind w:left="0" w:firstLine="0"/>
              <w:rPr/>
            </w:pPr>
            <w:r w:rsidDel="00000000" w:rsidR="00000000" w:rsidRPr="00000000">
              <w:rPr>
                <w:rtl w:val="0"/>
              </w:rPr>
            </w:r>
          </w:p>
          <w:p w:rsidR="00000000" w:rsidDel="00000000" w:rsidP="00000000" w:rsidRDefault="00000000" w:rsidRPr="00000000" w14:paraId="00000078">
            <w:pPr>
              <w:ind w:left="0" w:firstLine="0"/>
              <w:rPr/>
            </w:pPr>
            <w:r w:rsidDel="00000000" w:rsidR="00000000" w:rsidRPr="00000000">
              <w:rPr>
                <w:rtl w:val="0"/>
              </w:rPr>
              <w:t xml:space="preserve">How are you as an individual important to the group as a whole?</w:t>
            </w:r>
          </w:p>
          <w:p w:rsidR="00000000" w:rsidDel="00000000" w:rsidP="00000000" w:rsidRDefault="00000000" w:rsidRPr="00000000" w14:paraId="00000079">
            <w:pPr>
              <w:ind w:left="0" w:firstLine="0"/>
              <w:rPr/>
            </w:pPr>
            <w:r w:rsidDel="00000000" w:rsidR="00000000" w:rsidRPr="00000000">
              <w:rPr>
                <w:rtl w:val="0"/>
              </w:rPr>
            </w:r>
          </w:p>
        </w:tc>
        <w:tc>
          <w:tcPr>
            <w:gridSpan w:val="2"/>
          </w:tcPr>
          <w:p w:rsidR="00000000" w:rsidDel="00000000" w:rsidP="00000000" w:rsidRDefault="00000000" w:rsidRPr="00000000" w14:paraId="0000007B">
            <w:pPr>
              <w:rPr>
                <w:b w:val="1"/>
                <w:u w:val="single"/>
              </w:rPr>
            </w:pPr>
            <w:r w:rsidDel="00000000" w:rsidR="00000000" w:rsidRPr="00000000">
              <w:rPr>
                <w:rtl w:val="0"/>
              </w:rPr>
              <w:t xml:space="preserve">This continuation from Advanced Theatre. All new classes must learn who they are as a group and how to work together. </w:t>
            </w:r>
            <w:r w:rsidDel="00000000" w:rsidR="00000000" w:rsidRPr="00000000">
              <w:rPr>
                <w:rtl w:val="0"/>
              </w:rPr>
            </w:r>
          </w:p>
          <w:p w:rsidR="00000000" w:rsidDel="00000000" w:rsidP="00000000" w:rsidRDefault="00000000" w:rsidRPr="00000000" w14:paraId="0000007C">
            <w:pPr>
              <w:rPr>
                <w:b w:val="1"/>
                <w:u w:val="single"/>
              </w:rPr>
            </w:pPr>
            <w:r w:rsidDel="00000000" w:rsidR="00000000" w:rsidRPr="00000000">
              <w:rPr>
                <w:rtl w:val="0"/>
              </w:rPr>
            </w:r>
          </w:p>
          <w:p w:rsidR="00000000" w:rsidDel="00000000" w:rsidP="00000000" w:rsidRDefault="00000000" w:rsidRPr="00000000" w14:paraId="0000007D">
            <w:pPr>
              <w:rPr>
                <w:b w:val="1"/>
                <w:u w:val="single"/>
              </w:rPr>
            </w:pPr>
            <w:r w:rsidDel="00000000" w:rsidR="00000000" w:rsidRPr="00000000">
              <w:rPr>
                <w:rtl w:val="0"/>
              </w:rPr>
            </w:r>
          </w:p>
        </w:tc>
        <w:tc>
          <w:tcPr>
            <w:gridSpan w:val="2"/>
          </w:tcPr>
          <w:p w:rsidR="00000000" w:rsidDel="00000000" w:rsidP="00000000" w:rsidRDefault="00000000" w:rsidRPr="00000000" w14:paraId="0000007F">
            <w:pPr>
              <w:ind w:left="0" w:firstLine="0"/>
              <w:rPr/>
            </w:pPr>
            <w:r w:rsidDel="00000000" w:rsidR="00000000" w:rsidRPr="00000000">
              <w:rPr>
                <w:rtl w:val="0"/>
              </w:rPr>
              <w:t xml:space="preserve">Finding your voice</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Introduction of yourself to the class</w:t>
            </w:r>
          </w:p>
          <w:p w:rsidR="00000000" w:rsidDel="00000000" w:rsidP="00000000" w:rsidRDefault="00000000" w:rsidRPr="00000000" w14:paraId="00000082">
            <w:pPr>
              <w:ind w:left="0" w:firstLine="0"/>
              <w:rPr/>
            </w:pPr>
            <w:r w:rsidDel="00000000" w:rsidR="00000000" w:rsidRPr="00000000">
              <w:rPr>
                <w:rtl w:val="0"/>
              </w:rPr>
              <w:t xml:space="preserve"> </w:t>
            </w:r>
          </w:p>
          <w:p w:rsidR="00000000" w:rsidDel="00000000" w:rsidP="00000000" w:rsidRDefault="00000000" w:rsidRPr="00000000" w14:paraId="00000083">
            <w:pPr>
              <w:ind w:left="0" w:firstLine="0"/>
              <w:rPr/>
            </w:pPr>
            <w:r w:rsidDel="00000000" w:rsidR="00000000" w:rsidRPr="00000000">
              <w:rPr>
                <w:rtl w:val="0"/>
              </w:rPr>
              <w:t xml:space="preserve">Creating a working relationship with the group</w:t>
            </w:r>
          </w:p>
          <w:p w:rsidR="00000000" w:rsidDel="00000000" w:rsidP="00000000" w:rsidRDefault="00000000" w:rsidRPr="00000000" w14:paraId="00000084">
            <w:pPr>
              <w:ind w:left="0" w:firstLine="0"/>
              <w:rPr/>
            </w:pPr>
            <w:r w:rsidDel="00000000" w:rsidR="00000000" w:rsidRPr="00000000">
              <w:rPr>
                <w:rtl w:val="0"/>
              </w:rPr>
            </w:r>
          </w:p>
          <w:p w:rsidR="00000000" w:rsidDel="00000000" w:rsidP="00000000" w:rsidRDefault="00000000" w:rsidRPr="00000000" w14:paraId="00000085">
            <w:pPr>
              <w:ind w:left="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87">
            <w:pPr>
              <w:rPr>
                <w:color w:val="1f497d"/>
              </w:rPr>
            </w:pPr>
            <w:r w:rsidDel="00000000" w:rsidR="00000000" w:rsidRPr="00000000">
              <w:rPr>
                <w:b w:val="1"/>
                <w:u w:val="single"/>
                <w:rtl w:val="0"/>
              </w:rPr>
              <w:t xml:space="preserve">Career Readiness, Life Literacies, and Key Skills </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9.4.12.CI.1: Demonstrate the ability to reflect, analyze, and use creative skills and ideas (e.g., 1.1.12prof.CR3a)</w:t>
            </w:r>
          </w:p>
          <w:p w:rsidR="00000000" w:rsidDel="00000000" w:rsidP="00000000" w:rsidRDefault="00000000" w:rsidRPr="00000000" w14:paraId="0000008A">
            <w:pPr>
              <w:rPr>
                <w:b w:val="1"/>
                <w:u w:val="single"/>
              </w:rPr>
            </w:pPr>
            <w:r w:rsidDel="00000000" w:rsidR="00000000" w:rsidRPr="00000000">
              <w:rPr>
                <w:rtl w:val="0"/>
              </w:rPr>
              <w:t xml:space="preserve">9.4.12.CI.3: Investigate new challenges and opportunities for personal growth, advancement, and transition (e.g., 2.1.12.PGD.1)</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1">
            <w:pPr>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2">
            <w:pPr>
              <w:ind w:left="720" w:firstLine="0"/>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Theatre: Art in Action, National Textbook Company/Contemporary Publishing Group, Inc. 1999</w:t>
            </w:r>
          </w:p>
          <w:p w:rsidR="00000000" w:rsidDel="00000000" w:rsidP="00000000" w:rsidRDefault="00000000" w:rsidRPr="00000000" w14:paraId="00000094">
            <w:pPr>
              <w:ind w:left="720" w:firstLine="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9A">
            <w:pPr>
              <w:rPr>
                <w:b w:val="1"/>
                <w:u w:val="single"/>
              </w:rPr>
            </w:pPr>
            <w:r w:rsidDel="00000000" w:rsidR="00000000" w:rsidRPr="00000000">
              <w:rPr>
                <w:b w:val="1"/>
                <w:u w:val="single"/>
                <w:rtl w:val="0"/>
              </w:rPr>
              <w:t xml:space="preserve">Interdisciplinary Connections:</w:t>
            </w:r>
          </w:p>
          <w:p w:rsidR="00000000" w:rsidDel="00000000" w:rsidP="00000000" w:rsidRDefault="00000000" w:rsidRPr="00000000" w14:paraId="0000009B">
            <w:pPr>
              <w:rPr>
                <w:b w:val="1"/>
                <w:u w:val="single"/>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ELA: NJSLSA.R2. Determine central ideas or themes of a text and analyze their development; summarize the key supporting details and ideas</w:t>
            </w:r>
          </w:p>
          <w:p w:rsidR="00000000" w:rsidDel="00000000" w:rsidP="00000000" w:rsidRDefault="00000000" w:rsidRPr="00000000" w14:paraId="0000009D">
            <w:pPr>
              <w:rPr>
                <w:b w:val="1"/>
                <w:u w:val="single"/>
              </w:rPr>
            </w:pPr>
            <w:r w:rsidDel="00000000" w:rsidR="00000000" w:rsidRPr="00000000">
              <w:rPr>
                <w:rtl w:val="0"/>
              </w:rPr>
            </w:r>
          </w:p>
          <w:p w:rsidR="00000000" w:rsidDel="00000000" w:rsidP="00000000" w:rsidRDefault="00000000" w:rsidRPr="00000000" w14:paraId="0000009E">
            <w:pPr>
              <w:spacing w:after="200" w:line="276" w:lineRule="auto"/>
              <w:rPr>
                <w:highlight w:val="white"/>
              </w:rPr>
            </w:pPr>
            <w:r w:rsidDel="00000000" w:rsidR="00000000" w:rsidRPr="00000000">
              <w:rPr>
                <w:highlight w:val="white"/>
                <w:rtl w:val="0"/>
              </w:rPr>
              <w:t xml:space="preserve">Physical Education: 2.2.12.MSC.3: Design, lead and critique rhythmic and physical activity that includes variations in time, space, force, flow, and relationships </w:t>
            </w:r>
          </w:p>
          <w:p w:rsidR="00000000" w:rsidDel="00000000" w:rsidP="00000000" w:rsidRDefault="00000000" w:rsidRPr="00000000" w14:paraId="0000009F">
            <w:pPr>
              <w:spacing w:after="200" w:line="276" w:lineRule="auto"/>
              <w:rPr>
                <w:highlight w:val="white"/>
              </w:rPr>
            </w:pPr>
            <w:r w:rsidDel="00000000" w:rsidR="00000000" w:rsidRPr="00000000">
              <w:rPr>
                <w:highlight w:val="white"/>
                <w:rtl w:val="0"/>
              </w:rPr>
              <w:t xml:space="preserve">Social Studies: 6.1.12.HistoryCC.3.a: Evaluate the role of religion, music, literature, and media in shaping contemporary American culture over different time periods.</w:t>
            </w:r>
          </w:p>
          <w:p w:rsidR="00000000" w:rsidDel="00000000" w:rsidP="00000000" w:rsidRDefault="00000000" w:rsidRPr="00000000" w14:paraId="000000A0">
            <w:pPr>
              <w:spacing w:after="200" w:line="276" w:lineRule="auto"/>
              <w:rPr/>
            </w:pPr>
            <w:r w:rsidDel="00000000" w:rsidR="00000000" w:rsidRPr="00000000">
              <w:rPr>
                <w:highlight w:val="white"/>
                <w:rtl w:val="0"/>
              </w:rPr>
              <w:t xml:space="preserve">6.1.12.HistoryCA.14.c: Determine the influence of multicultural beliefs, products (i.e., art, food, music, and literature), and practices in shaping contemporary American culture.</w:t>
            </w:r>
            <w:r w:rsidDel="00000000" w:rsidR="00000000" w:rsidRPr="00000000">
              <w:rPr>
                <w:rtl w:val="0"/>
              </w:rPr>
            </w:r>
          </w:p>
          <w:p w:rsidR="00000000" w:rsidDel="00000000" w:rsidP="00000000" w:rsidRDefault="00000000" w:rsidRPr="00000000" w14:paraId="000000A1">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7">
            <w:pPr>
              <w:rPr/>
            </w:pPr>
            <w:r w:rsidDel="00000000" w:rsidR="00000000" w:rsidRPr="00000000">
              <w:rPr>
                <w:b w:val="1"/>
                <w:u w:val="single"/>
                <w:rtl w:val="0"/>
              </w:rPr>
              <w:t xml:space="preserve">Intersections of History: </w:t>
            </w:r>
            <w:r w:rsidDel="00000000" w:rsidR="00000000" w:rsidRPr="00000000">
              <w:rPr>
                <w:rtl w:val="0"/>
              </w:rPr>
              <w:t xml:space="preserve">What are the origins of Theatre and collaborative learning?</w:t>
            </w:r>
          </w:p>
          <w:p w:rsidR="00000000" w:rsidDel="00000000" w:rsidP="00000000" w:rsidRDefault="00000000" w:rsidRPr="00000000" w14:paraId="000000A8">
            <w:pPr>
              <w:rPr>
                <w:b w:val="1"/>
                <w:u w:val="single"/>
              </w:rPr>
            </w:pPr>
            <w:r w:rsidDel="00000000" w:rsidR="00000000" w:rsidRPr="00000000">
              <w:rPr>
                <w:rtl w:val="0"/>
              </w:rPr>
            </w:r>
          </w:p>
          <w:p w:rsidR="00000000" w:rsidDel="00000000" w:rsidP="00000000" w:rsidRDefault="00000000" w:rsidRPr="00000000" w14:paraId="000000A9">
            <w:pPr>
              <w:rPr/>
            </w:pPr>
            <w:r w:rsidDel="00000000" w:rsidR="00000000" w:rsidRPr="00000000">
              <w:rPr>
                <w:b w:val="1"/>
                <w:u w:val="single"/>
                <w:rtl w:val="0"/>
              </w:rPr>
              <w:t xml:space="preserve">Black:</w:t>
            </w:r>
            <w:r w:rsidDel="00000000" w:rsidR="00000000" w:rsidRPr="00000000">
              <w:rPr>
                <w:rtl w:val="0"/>
              </w:rPr>
              <w:t xml:space="preserve"> Audra McDonald, James Monroe Iglehart, Viola Davis, Phylicia Rashad, Ben Vereen, Renée Elise Goldsberry, Leslie Odom Jr., Brian Stokes Mitchell, James Earl Jones, Courtney B. Vance, Patina Miller, Juanita Hall, etc.</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u w:val="single"/>
              </w:rPr>
            </w:pPr>
            <w:r w:rsidDel="00000000" w:rsidR="00000000" w:rsidRPr="00000000">
              <w:rPr>
                <w:b w:val="1"/>
                <w:u w:val="single"/>
                <w:rtl w:val="0"/>
              </w:rPr>
              <w:t xml:space="preserve">Hispanic:</w:t>
            </w:r>
            <w:r w:rsidDel="00000000" w:rsidR="00000000" w:rsidRPr="00000000">
              <w:rPr>
                <w:rtl w:val="0"/>
              </w:rPr>
              <w:t xml:space="preserve"> Lin Manuel-Miranda, Lindsay Mendez, Rita Moreno, Sara Ramirez, Karen Olivo, Priscila Lopez and Chita Rivera</w:t>
            </w:r>
            <w:r w:rsidDel="00000000" w:rsidR="00000000" w:rsidRPr="00000000">
              <w:rPr>
                <w:rtl w:val="0"/>
              </w:rPr>
            </w:r>
          </w:p>
          <w:p w:rsidR="00000000" w:rsidDel="00000000" w:rsidP="00000000" w:rsidRDefault="00000000" w:rsidRPr="00000000" w14:paraId="000000AC">
            <w:pPr>
              <w:rPr>
                <w:b w:val="1"/>
                <w:u w:val="single"/>
              </w:rPr>
            </w:pPr>
            <w:r w:rsidDel="00000000" w:rsidR="00000000" w:rsidRPr="00000000">
              <w:rPr>
                <w:rtl w:val="0"/>
              </w:rPr>
            </w:r>
          </w:p>
          <w:p w:rsidR="00000000" w:rsidDel="00000000" w:rsidP="00000000" w:rsidRDefault="00000000" w:rsidRPr="00000000" w14:paraId="000000AD">
            <w:pPr>
              <w:rPr/>
            </w:pPr>
            <w:r w:rsidDel="00000000" w:rsidR="00000000" w:rsidRPr="00000000">
              <w:rPr>
                <w:b w:val="1"/>
                <w:u w:val="single"/>
                <w:rtl w:val="0"/>
              </w:rPr>
              <w:t xml:space="preserve">Women:</w:t>
            </w:r>
            <w:r w:rsidDel="00000000" w:rsidR="00000000" w:rsidRPr="00000000">
              <w:rPr>
                <w:rtl w:val="0"/>
              </w:rPr>
              <w:t xml:space="preserve"> Patti LuPone, Kristin Chenoweth, Bernadette Peters, Idina Menzel, Sutton Foster, Kelli O'Hara, Angela Lansbury, Lea Salonga*, Liza Minnelli, Julie Andrews, Laura Osnes, Elaine Stritch, Phillipa Soo, Jessie Mueller, Ethel Merman, Sierra Boggess, Betty Buckley, Christine Ebersole, Carol Channing. * - AAPI</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u w:val="single"/>
                <w:rtl w:val="0"/>
              </w:rPr>
              <w:t xml:space="preserve">LGBTQ: </w:t>
            </w:r>
            <w:r w:rsidDel="00000000" w:rsidR="00000000" w:rsidRPr="00000000">
              <w:rPr>
                <w:rtl w:val="0"/>
              </w:rPr>
              <w:t xml:space="preserve"> Billy Porter, Wilson Cruz, Alan Cumming, Harvey Fierstein, Cheyenne Jackson, Jonathan Groff, Joel Grey, Barry Manilow</w:t>
            </w:r>
          </w:p>
          <w:p w:rsidR="00000000" w:rsidDel="00000000" w:rsidP="00000000" w:rsidRDefault="00000000" w:rsidRPr="00000000" w14:paraId="000000B0">
            <w:pPr>
              <w:rPr>
                <w:b w:val="1"/>
                <w:u w:val="single"/>
              </w:rPr>
            </w:pPr>
            <w:r w:rsidDel="00000000" w:rsidR="00000000" w:rsidRPr="00000000">
              <w:rPr>
                <w:rtl w:val="0"/>
              </w:rPr>
            </w:r>
          </w:p>
          <w:p w:rsidR="00000000" w:rsidDel="00000000" w:rsidP="00000000" w:rsidRDefault="00000000" w:rsidRPr="00000000" w14:paraId="000000B1">
            <w:pPr>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B7">
            <w:pPr>
              <w:rPr>
                <w:b w:val="1"/>
                <w:u w:val="single"/>
              </w:rPr>
            </w:pPr>
            <w:r w:rsidDel="00000000" w:rsidR="00000000" w:rsidRPr="00000000">
              <w:rPr>
                <w:b w:val="1"/>
                <w:u w:val="single"/>
                <w:rtl w:val="0"/>
              </w:rPr>
              <w:t xml:space="preserve">Important Vocabulary:  </w:t>
            </w:r>
          </w:p>
          <w:p w:rsidR="00000000" w:rsidDel="00000000" w:rsidP="00000000" w:rsidRDefault="00000000" w:rsidRPr="00000000" w14:paraId="000000B8">
            <w:pPr>
              <w:rPr>
                <w:b w:val="1"/>
                <w:u w:val="single"/>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Ensemble, Collaboration, Teamwork.</w:t>
            </w:r>
          </w:p>
          <w:p w:rsidR="00000000" w:rsidDel="00000000" w:rsidP="00000000" w:rsidRDefault="00000000" w:rsidRPr="00000000" w14:paraId="000000BA">
            <w:pPr>
              <w:rPr>
                <w:b w:val="1"/>
                <w:u w:val="singl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sectPr>
      <w:headerReference r:id="rId7" w:type="default"/>
      <w:footerReference r:id="rId8"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tabs>
        <w:tab w:val="center" w:leader="none" w:pos="4680"/>
        <w:tab w:val="right" w:leader="none" w:pos="9360"/>
      </w:tabs>
      <w:spacing w:after="0"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BOE Approved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p3Tjh4DAcXNnFTALRQgA3yOKqw==">AMUW2mX+tZ/uLZ7K6M1lcMjeFh/KZGfDKAIyUXVwuGP0QDP3UDHWkzLsy9vHuKCVkLiKzGTjQALnFkUvI/yL4fGI0Q1KTGj8nT6NbtrNo+uAhzQO0wjjyjNqf7LsojEjnSHomlrilBG+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