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Intro to Theatre</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2: Public Speaking</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Performing</w:t>
            </w:r>
          </w:p>
          <w:p w:rsidR="00000000" w:rsidDel="00000000" w:rsidP="00000000" w:rsidRDefault="00000000" w:rsidRPr="00000000" w14:paraId="0000000D">
            <w:pPr>
              <w:rPr/>
            </w:pPr>
            <w:r w:rsidDel="00000000" w:rsidR="00000000" w:rsidRPr="00000000">
              <w:rPr>
                <w:rtl w:val="0"/>
              </w:rPr>
              <w:t xml:space="preserve">Anchor Standard 4: Select, analyze, and interpret work for presentation.</w:t>
            </w:r>
          </w:p>
          <w:p w:rsidR="00000000" w:rsidDel="00000000" w:rsidP="00000000" w:rsidRDefault="00000000" w:rsidRPr="00000000" w14:paraId="0000000E">
            <w:pPr>
              <w:rPr/>
            </w:pPr>
            <w:r w:rsidDel="00000000" w:rsidR="00000000" w:rsidRPr="00000000">
              <w:rPr>
                <w:rtl w:val="0"/>
              </w:rPr>
              <w:t xml:space="preserve">Anchor Standard 5: Develop and refine artistic techniques and work for presentation.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1">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2">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8">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This unit is a natural progression from the ensemble building unit. Students start by presenting their partner and having a first stand-up and talk in front of a group presentation.. We then take that and have them read a children’s book to the class by themselves. Using the children’s book students start to find their acting voice by focusing on volume, diction, and posture while reading. Students then build upon those skills by developing a character voice to emote. </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2">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Theatre artists make strong choices to effectively convey meaning.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Theatre artist develop personal processes and skills for a performance or design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Theatre artists apply criteria to investigate, explore, and assess drama and theatre work.</w:t>
            </w:r>
          </w:p>
          <w:p w:rsidR="00000000" w:rsidDel="00000000" w:rsidP="00000000" w:rsidRDefault="00000000" w:rsidRPr="00000000" w14:paraId="00000029">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F">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0">
            <w:pPr>
              <w:rPr>
                <w:color w:val="1f497d"/>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Why are strong choices essential to interpreting a drama or theatre piece?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What can I do to fully prepare a performance or technical design?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How are theatre artist’s processes and the audiences perspectives impacted by analysis and synthesis?</w:t>
            </w:r>
          </w:p>
          <w:p w:rsidR="00000000" w:rsidDel="00000000" w:rsidP="00000000" w:rsidRDefault="00000000" w:rsidRPr="00000000" w14:paraId="00000036">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C">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F">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2">
            <w:pPr>
              <w:jc w:val="center"/>
              <w:rPr>
                <w:b w:val="1"/>
              </w:rPr>
            </w:pPr>
            <w:r w:rsidDel="00000000" w:rsidR="00000000" w:rsidRPr="00000000">
              <w:rPr>
                <w:b w:val="1"/>
                <w:rtl w:val="0"/>
              </w:rPr>
              <w:t xml:space="preserve">Content</w:t>
            </w:r>
          </w:p>
          <w:p w:rsidR="00000000" w:rsidDel="00000000" w:rsidP="00000000" w:rsidRDefault="00000000" w:rsidRPr="00000000" w14:paraId="00000043">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4">
            <w:pPr>
              <w:jc w:val="center"/>
              <w:rPr>
                <w:b w:val="1"/>
              </w:rPr>
            </w:pPr>
            <w:r w:rsidDel="00000000" w:rsidR="00000000" w:rsidRPr="00000000">
              <w:rPr>
                <w:b w:val="1"/>
                <w:rtl w:val="0"/>
              </w:rPr>
              <w:t xml:space="preserve">Skills</w:t>
            </w:r>
          </w:p>
          <w:p w:rsidR="00000000" w:rsidDel="00000000" w:rsidP="00000000" w:rsidRDefault="00000000" w:rsidRPr="00000000" w14:paraId="00000045">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7">
            <w:pPr>
              <w:jc w:val="center"/>
              <w:rPr>
                <w:b w:val="1"/>
              </w:rPr>
            </w:pPr>
            <w:r w:rsidDel="00000000" w:rsidR="00000000" w:rsidRPr="00000000">
              <w:rPr>
                <w:b w:val="1"/>
                <w:rtl w:val="0"/>
              </w:rPr>
              <w:t xml:space="preserve">Activities/Strategies</w:t>
            </w:r>
          </w:p>
          <w:p w:rsidR="00000000" w:rsidDel="00000000" w:rsidP="00000000" w:rsidRDefault="00000000" w:rsidRPr="00000000" w14:paraId="00000048">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A">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B">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C">
            <w:pPr>
              <w:rPr/>
            </w:pPr>
            <w:r w:rsidDel="00000000" w:rsidR="00000000" w:rsidRPr="00000000">
              <w:rPr>
                <w:rtl w:val="0"/>
              </w:rPr>
              <w:t xml:space="preserve">Students will find their public speaking voices.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Students will learn how to speak in front of a group.</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Students will understand the difference between communication to peers and in front of a group.</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Students will earn how to characterize their voices.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Students will learn about volume, pitch, annonciation, and diction.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Students will know how to identify and critique good and bad public speaking practices.</w:t>
            </w:r>
          </w:p>
          <w:p w:rsidR="00000000" w:rsidDel="00000000" w:rsidP="00000000" w:rsidRDefault="00000000" w:rsidRPr="00000000" w14:paraId="00000057">
            <w:pPr>
              <w:rPr/>
            </w:pPr>
            <w:r w:rsidDel="00000000" w:rsidR="00000000" w:rsidRPr="00000000">
              <w:rPr>
                <w:rtl w:val="0"/>
              </w:rPr>
            </w:r>
          </w:p>
        </w:tc>
        <w:tc>
          <w:tcPr>
            <w:gridSpan w:val="2"/>
          </w:tcPr>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Students will be able to speak in front of a group.</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Students will be able to differentiate speaking one on one to a peer and to a group.</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Students will know what is acceptable volume, pitch, annunciation and diction when speaking to a group.</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Students will understand how to characterize their voices when needed.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Students will be able to identify and critique each other on good public speaking etiquette.</w:t>
            </w:r>
          </w:p>
        </w:tc>
        <w:tc>
          <w:tcPr>
            <w:gridSpan w:val="2"/>
          </w:tcPr>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Partner interviews</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 xml:space="preserve">Partner presentations</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t xml:space="preserve">Children’s book reading </w:t>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t xml:space="preserve">Children’s book presentations</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r>
          </w:p>
        </w:tc>
        <w:tc>
          <w:tcPr/>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t xml:space="preserve">Observation of student work with a partner.</w:t>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t xml:space="preserve">Performance </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t xml:space="preserve">Student critiques</w:t>
            </w:r>
          </w:p>
        </w:tc>
      </w:tr>
      <w:tr>
        <w:trPr>
          <w:cantSplit w:val="0"/>
          <w:trHeight w:val="120" w:hRule="atLeast"/>
          <w:tblHeader w:val="0"/>
        </w:trPr>
        <w:tc>
          <w:tcPr>
            <w:gridSpan w:val="6"/>
            <w:shd w:fill="1f497d" w:val="clear"/>
          </w:tcPr>
          <w:p w:rsidR="00000000" w:rsidDel="00000000" w:rsidP="00000000" w:rsidRDefault="00000000" w:rsidRPr="00000000" w14:paraId="00000074">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5">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6">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C">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E">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0">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t xml:space="preserve">Identifying and Using proper public speaking techniques</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r>
          </w:p>
        </w:tc>
        <w:tc>
          <w:tcPr>
            <w:gridSpan w:val="2"/>
          </w:tcPr>
          <w:p w:rsidR="00000000" w:rsidDel="00000000" w:rsidP="00000000" w:rsidRDefault="00000000" w:rsidRPr="00000000" w14:paraId="00000089">
            <w:pPr>
              <w:rPr>
                <w:b w:val="1"/>
                <w:u w:val="single"/>
              </w:rPr>
            </w:pPr>
            <w:r w:rsidDel="00000000" w:rsidR="00000000" w:rsidRPr="00000000">
              <w:rPr>
                <w:rtl w:val="0"/>
              </w:rPr>
              <w:t xml:space="preserve">Using the introductions and how to work together as a group, students will support each other as they find their voice for performance and presentation.</w:t>
            </w:r>
            <w:r w:rsidDel="00000000" w:rsidR="00000000" w:rsidRPr="00000000">
              <w:rPr>
                <w:rtl w:val="0"/>
              </w:rPr>
            </w:r>
          </w:p>
          <w:p w:rsidR="00000000" w:rsidDel="00000000" w:rsidP="00000000" w:rsidRDefault="00000000" w:rsidRPr="00000000" w14:paraId="0000008A">
            <w:pPr>
              <w:rPr>
                <w:b w:val="1"/>
                <w:u w:val="single"/>
              </w:rPr>
            </w:pPr>
            <w:r w:rsidDel="00000000" w:rsidR="00000000" w:rsidRPr="00000000">
              <w:rPr>
                <w:rtl w:val="0"/>
              </w:rPr>
            </w:r>
          </w:p>
          <w:p w:rsidR="00000000" w:rsidDel="00000000" w:rsidP="00000000" w:rsidRDefault="00000000" w:rsidRPr="00000000" w14:paraId="0000008B">
            <w:pPr>
              <w:rPr>
                <w:b w:val="1"/>
                <w:u w:val="single"/>
              </w:rPr>
            </w:pPr>
            <w:r w:rsidDel="00000000" w:rsidR="00000000" w:rsidRPr="00000000">
              <w:rPr>
                <w:rtl w:val="0"/>
              </w:rPr>
            </w:r>
          </w:p>
          <w:p w:rsidR="00000000" w:rsidDel="00000000" w:rsidP="00000000" w:rsidRDefault="00000000" w:rsidRPr="00000000" w14:paraId="0000008C">
            <w:pPr>
              <w:rPr>
                <w:b w:val="1"/>
                <w:u w:val="single"/>
              </w:rPr>
            </w:pPr>
            <w:r w:rsidDel="00000000" w:rsidR="00000000" w:rsidRPr="00000000">
              <w:rPr>
                <w:rtl w:val="0"/>
              </w:rPr>
            </w:r>
          </w:p>
        </w:tc>
        <w:tc>
          <w:tcPr>
            <w:gridSpan w:val="2"/>
          </w:tcPr>
          <w:p w:rsidR="00000000" w:rsidDel="00000000" w:rsidP="00000000" w:rsidRDefault="00000000" w:rsidRPr="00000000" w14:paraId="0000008E">
            <w:pPr>
              <w:ind w:left="0" w:firstLine="0"/>
              <w:rPr/>
            </w:pPr>
            <w:r w:rsidDel="00000000" w:rsidR="00000000" w:rsidRPr="00000000">
              <w:rPr>
                <w:rtl w:val="0"/>
              </w:rPr>
              <w:t xml:space="preserve">Partner Presentations</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t xml:space="preserve">Children’s book selection and analysis</w:t>
            </w:r>
          </w:p>
          <w:p w:rsidR="00000000" w:rsidDel="00000000" w:rsidP="00000000" w:rsidRDefault="00000000" w:rsidRPr="00000000" w14:paraId="00000091">
            <w:pPr>
              <w:ind w:left="0" w:firstLine="0"/>
              <w:rPr/>
            </w:pPr>
            <w:r w:rsidDel="00000000" w:rsidR="00000000" w:rsidRPr="00000000">
              <w:rPr>
                <w:rtl w:val="0"/>
              </w:rPr>
            </w:r>
          </w:p>
          <w:p w:rsidR="00000000" w:rsidDel="00000000" w:rsidP="00000000" w:rsidRDefault="00000000" w:rsidRPr="00000000" w14:paraId="00000092">
            <w:pPr>
              <w:ind w:left="0" w:firstLine="0"/>
              <w:rPr/>
            </w:pPr>
            <w:r w:rsidDel="00000000" w:rsidR="00000000" w:rsidRPr="00000000">
              <w:rPr>
                <w:rtl w:val="0"/>
              </w:rPr>
              <w:t xml:space="preserve">Children’s book performance. </w:t>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ind w:left="0" w:firstLine="0"/>
              <w:rPr/>
            </w:pPr>
            <w:r w:rsidDel="00000000" w:rsidR="00000000" w:rsidRPr="00000000">
              <w:rPr>
                <w:rtl w:val="0"/>
              </w:rPr>
              <w:t xml:space="preserve">Critiques</w:t>
            </w:r>
          </w:p>
        </w:tc>
      </w:tr>
      <w:tr>
        <w:trPr>
          <w:cantSplit w:val="0"/>
          <w:trHeight w:val="120" w:hRule="atLeast"/>
          <w:tblHeader w:val="0"/>
        </w:trPr>
        <w:tc>
          <w:tcPr>
            <w:gridSpan w:val="6"/>
          </w:tcPr>
          <w:p w:rsidR="00000000" w:rsidDel="00000000" w:rsidP="00000000" w:rsidRDefault="00000000" w:rsidRPr="00000000" w14:paraId="00000096">
            <w:pPr>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t xml:space="preserve">9.4.5.GCA.1: Analyze how culture shapes individual and community perspectives and pov</w:t>
            </w:r>
          </w:p>
          <w:p w:rsidR="00000000" w:rsidDel="00000000" w:rsidP="00000000" w:rsidRDefault="00000000" w:rsidRPr="00000000" w14:paraId="00000099">
            <w:pPr>
              <w:rPr/>
            </w:pPr>
            <w:r w:rsidDel="00000000" w:rsidR="00000000" w:rsidRPr="00000000">
              <w:rPr>
                <w:rtl w:val="0"/>
              </w:rPr>
              <w:t xml:space="preserve">9.4.8.GCA.1: Model how to navigate cultural differences with sensitivity and respect </w:t>
            </w:r>
          </w:p>
          <w:p w:rsidR="00000000" w:rsidDel="00000000" w:rsidP="00000000" w:rsidRDefault="00000000" w:rsidRPr="00000000" w14:paraId="0000009A">
            <w:pPr>
              <w:rPr/>
            </w:pPr>
            <w:r w:rsidDel="00000000" w:rsidR="00000000" w:rsidRPr="00000000">
              <w:rPr>
                <w:rtl w:val="0"/>
              </w:rPr>
              <w:t xml:space="preserve">                                                                               </w:t>
            </w:r>
          </w:p>
          <w:p w:rsidR="00000000" w:rsidDel="00000000" w:rsidP="00000000" w:rsidRDefault="00000000" w:rsidRPr="00000000" w14:paraId="0000009B">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 9.4.12.CI.1: Demonstrate the ability to reflect, analyze, and use creative skills and ideas</w:t>
            </w:r>
          </w:p>
          <w:p w:rsidR="00000000" w:rsidDel="00000000" w:rsidP="00000000" w:rsidRDefault="00000000" w:rsidRPr="00000000" w14:paraId="0000009E">
            <w:pPr>
              <w:rPr/>
            </w:pPr>
            <w:r w:rsidDel="00000000" w:rsidR="00000000" w:rsidRPr="00000000">
              <w:rPr>
                <w:rtl w:val="0"/>
              </w:rPr>
              <w:t xml:space="preserve">9.3.12.AR.3 Analyze the lifestyle implications and physical demands required in the arts, audio/visual technology and communications workplace.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9.4.12.CI.3: Investigate new challenges and opportunities for personal growth, advancement, and transition (e.g., 2.1.12.PGD.1). </w:t>
            </w:r>
          </w:p>
          <w:p w:rsidR="00000000" w:rsidDel="00000000" w:rsidP="00000000" w:rsidRDefault="00000000" w:rsidRPr="00000000" w14:paraId="000000A1">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7">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8">
            <w:pPr>
              <w:ind w:left="720" w:firstLine="0"/>
              <w:rPr/>
            </w:pPr>
            <w:r w:rsidDel="00000000" w:rsidR="00000000" w:rsidRPr="00000000">
              <w:rPr>
                <w:rtl w:val="0"/>
              </w:rPr>
              <w:t xml:space="preserve">Classroom library of children's story books.</w:t>
            </w:r>
          </w:p>
          <w:p w:rsidR="00000000" w:rsidDel="00000000" w:rsidP="00000000" w:rsidRDefault="00000000" w:rsidRPr="00000000" w14:paraId="000000A9">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AA">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0">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1">
            <w:pPr>
              <w:rPr>
                <w:b w:val="1"/>
                <w:u w:val="single"/>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B3">
            <w:pPr>
              <w:rPr>
                <w:b w:val="1"/>
                <w:u w:val="single"/>
              </w:rPr>
            </w:pPr>
            <w:r w:rsidDel="00000000" w:rsidR="00000000" w:rsidRPr="00000000">
              <w:rPr>
                <w:rtl w:val="0"/>
              </w:rPr>
            </w:r>
          </w:p>
          <w:p w:rsidR="00000000" w:rsidDel="00000000" w:rsidP="00000000" w:rsidRDefault="00000000" w:rsidRPr="00000000" w14:paraId="000000B4">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B5">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B6">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E">
            <w:pPr>
              <w:rPr/>
            </w:pPr>
            <w:r w:rsidDel="00000000" w:rsidR="00000000" w:rsidRPr="00000000">
              <w:rPr>
                <w:b w:val="1"/>
                <w:u w:val="single"/>
                <w:rtl w:val="0"/>
              </w:rPr>
              <w:t xml:space="preserve">Intersections of History:</w:t>
            </w:r>
            <w:r w:rsidDel="00000000" w:rsidR="00000000" w:rsidRPr="00000000">
              <w:rPr>
                <w:rtl w:val="0"/>
              </w:rPr>
              <w:t xml:space="preserve"> important public speakers/events; “I have a dream” speech, State of the Union, and PSAs.</w:t>
            </w:r>
          </w:p>
          <w:p w:rsidR="00000000" w:rsidDel="00000000" w:rsidP="00000000" w:rsidRDefault="00000000" w:rsidRPr="00000000" w14:paraId="000000BF">
            <w:pPr>
              <w:rPr>
                <w:b w:val="1"/>
                <w:u w:val="single"/>
              </w:rPr>
            </w:pPr>
            <w:r w:rsidDel="00000000" w:rsidR="00000000" w:rsidRPr="00000000">
              <w:rPr>
                <w:rtl w:val="0"/>
              </w:rPr>
            </w:r>
          </w:p>
          <w:p w:rsidR="00000000" w:rsidDel="00000000" w:rsidP="00000000" w:rsidRDefault="00000000" w:rsidRPr="00000000" w14:paraId="000000C0">
            <w:pPr>
              <w:rPr/>
            </w:pPr>
            <w:r w:rsidDel="00000000" w:rsidR="00000000" w:rsidRPr="00000000">
              <w:rPr>
                <w:b w:val="1"/>
                <w:u w:val="single"/>
                <w:rtl w:val="0"/>
              </w:rPr>
              <w:t xml:space="preserve">Black:</w:t>
            </w:r>
            <w:r w:rsidDel="00000000" w:rsidR="00000000" w:rsidRPr="00000000">
              <w:rPr>
                <w:rtl w:val="0"/>
              </w:rPr>
              <w:t xml:space="preserve"> Audra McDonald, James Monroe Iglehart, Viola Davis, Phylicia Rashad, Ben Vereen, Renée Elise Goldsberry, Leslie Odom Jr., Brian Stokes Mitchell, James Earl Jones, Courtney B. Vance, Patina Miller, Juanita Hall, etc.</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u w:val="single"/>
              </w:rPr>
            </w:pPr>
            <w:r w:rsidDel="00000000" w:rsidR="00000000" w:rsidRPr="00000000">
              <w:rPr>
                <w:b w:val="1"/>
                <w:u w:val="single"/>
                <w:rtl w:val="0"/>
              </w:rPr>
              <w:t xml:space="preserve">Hispanic:</w:t>
            </w:r>
            <w:r w:rsidDel="00000000" w:rsidR="00000000" w:rsidRPr="00000000">
              <w:rPr>
                <w:rtl w:val="0"/>
              </w:rPr>
              <w:t xml:space="preserve"> Lin Manuel-Miranda, Lindsay Mendez, Rita Moreno, Sara Ramirez, Karen Olivo, Priscila Lopez and Chita Rivera</w:t>
            </w:r>
            <w:r w:rsidDel="00000000" w:rsidR="00000000" w:rsidRPr="00000000">
              <w:rPr>
                <w:rtl w:val="0"/>
              </w:rPr>
            </w:r>
          </w:p>
          <w:p w:rsidR="00000000" w:rsidDel="00000000" w:rsidP="00000000" w:rsidRDefault="00000000" w:rsidRPr="00000000" w14:paraId="000000C3">
            <w:pPr>
              <w:rPr>
                <w:b w:val="1"/>
                <w:u w:val="single"/>
              </w:rPr>
            </w:pPr>
            <w:r w:rsidDel="00000000" w:rsidR="00000000" w:rsidRPr="00000000">
              <w:rPr>
                <w:rtl w:val="0"/>
              </w:rPr>
            </w:r>
          </w:p>
          <w:p w:rsidR="00000000" w:rsidDel="00000000" w:rsidP="00000000" w:rsidRDefault="00000000" w:rsidRPr="00000000" w14:paraId="000000C4">
            <w:pPr>
              <w:rPr/>
            </w:pPr>
            <w:r w:rsidDel="00000000" w:rsidR="00000000" w:rsidRPr="00000000">
              <w:rPr>
                <w:b w:val="1"/>
                <w:u w:val="single"/>
                <w:rtl w:val="0"/>
              </w:rPr>
              <w:t xml:space="preserve">Women:</w:t>
            </w:r>
            <w:r w:rsidDel="00000000" w:rsidR="00000000" w:rsidRPr="00000000">
              <w:rPr>
                <w:rtl w:val="0"/>
              </w:rPr>
              <w:t xml:space="preserve"> Patti LuPone, Kristin Chenoweth, Bernadette Peters, Idina Menzel, Sutton Foster, Kelli O'Hara, Angela Lansbury, Lea Salonga*, Liza Minnelli, Julie Andrews, Laura Osnes, Elaine Stritch, Phillipa Soo, Jessie Mueller, Ethel Merman, Sierra Boggess, Betty Buckley, Christine Ebersole, Carol Channing. * - AAPI</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u w:val="single"/>
                <w:rtl w:val="0"/>
              </w:rPr>
              <w:t xml:space="preserve">LGBTQ: </w:t>
            </w:r>
            <w:r w:rsidDel="00000000" w:rsidR="00000000" w:rsidRPr="00000000">
              <w:rPr>
                <w:rtl w:val="0"/>
              </w:rPr>
              <w:t xml:space="preserve"> Billy Porter, Wilson Cruz, Alan Cumming, Harvey Fierstein, Cheyenne Jackson, Jonathan Groff, Joel Grey, Barry Manilow</w:t>
            </w:r>
          </w:p>
          <w:p w:rsidR="00000000" w:rsidDel="00000000" w:rsidP="00000000" w:rsidRDefault="00000000" w:rsidRPr="00000000" w14:paraId="000000C7">
            <w:pPr>
              <w:rPr>
                <w:b w:val="1"/>
                <w:u w:val="single"/>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E">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CF">
            <w:pPr>
              <w:rPr>
                <w:b w:val="1"/>
                <w:u w:val="single"/>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Annunciation, Diction, Pitch, Emote, Volume, Clarity, Posture, Eye Contact, Voice, Dialogue, Characterization, Critique. </w:t>
            </w:r>
          </w:p>
          <w:p w:rsidR="00000000" w:rsidDel="00000000" w:rsidP="00000000" w:rsidRDefault="00000000" w:rsidRPr="00000000" w14:paraId="000000D1">
            <w:pPr>
              <w:rPr>
                <w:b w:val="1"/>
                <w:u w:val="single"/>
              </w:rPr>
            </w:pPr>
            <w:r w:rsidDel="00000000" w:rsidR="00000000" w:rsidRPr="00000000">
              <w:rPr>
                <w:rtl w:val="0"/>
              </w:rPr>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DFYtQnVQYJEjgSIJaRV4LUZeEA==">AMUW2mV5S8S2vxxmNhm0hXNedOKOsYilNupXYuyC3XlnePuQrS//atXDu4OiWe8IBdYudiu9pFCBHMeI5dS6Gt8a09GP6pfQ55MUcJ2TD3SJRR/dIAIMJ0NsdZp/FR66HsPHDdhgZQ1d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