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170"/>
        <w:gridCol w:w="1432"/>
        <w:gridCol w:w="8018"/>
        <w:gridCol w:w="4500"/>
      </w:tblGrid>
      <w:tr w:rsidR="00EF18F4" w:rsidRPr="005F6467" w:rsidTr="001658DB">
        <w:tc>
          <w:tcPr>
            <w:tcW w:w="10620" w:type="dxa"/>
            <w:gridSpan w:val="3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47753" w:rsidRPr="005F6467">
              <w:rPr>
                <w:rFonts w:asciiTheme="majorHAnsi" w:hAnsiTheme="majorHAnsi"/>
                <w:b/>
                <w:sz w:val="24"/>
                <w:szCs w:val="24"/>
              </w:rPr>
              <w:t>United States History</w:t>
            </w:r>
          </w:p>
        </w:tc>
        <w:tc>
          <w:tcPr>
            <w:tcW w:w="4500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3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1: </w:t>
            </w:r>
            <w:r w:rsidR="00313324"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European Colonization, 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Colonial Life</w:t>
            </w:r>
            <w:r w:rsidR="00313324"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and American Revolution</w:t>
            </w:r>
          </w:p>
        </w:tc>
        <w:tc>
          <w:tcPr>
            <w:tcW w:w="4500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1658DB">
        <w:tc>
          <w:tcPr>
            <w:tcW w:w="10620" w:type="dxa"/>
            <w:gridSpan w:val="3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Topics: Colonization of North America, English Colonies, Life in the Colonial America</w:t>
            </w:r>
            <w:r w:rsidR="00313324" w:rsidRPr="005F6467">
              <w:rPr>
                <w:rFonts w:asciiTheme="majorHAnsi" w:hAnsiTheme="majorHAnsi"/>
                <w:b/>
                <w:sz w:val="24"/>
                <w:szCs w:val="24"/>
              </w:rPr>
              <w:t>, the American Revolution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3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 10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450" w:type="dxa"/>
            <w:gridSpan w:val="2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500" w:type="dxa"/>
          </w:tcPr>
          <w:p w:rsidR="00EF18F4" w:rsidRPr="005F6467" w:rsidRDefault="009E6B87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Connect a modern day current event to the ideas of the American Revolution and the settlement of North America (project based, discussion, group activity)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2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3.5</w:t>
            </w:r>
          </w:p>
        </w:tc>
        <w:tc>
          <w:tcPr>
            <w:tcW w:w="8018" w:type="dxa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sz w:val="24"/>
                <w:szCs w:val="24"/>
              </w:rPr>
              <w:t>In addition to score 3.0 performance, partial success at score 4.0 performance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450" w:type="dxa"/>
            <w:gridSpan w:val="2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</w:t>
            </w:r>
            <w:r w:rsidR="000E5B85"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be able to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Investigate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geographical, political, and socio-economic factors which influenced the colonization of North America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Categorize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factors that contributed to the success of the English Colonies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Identify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key characteristics of a revolution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Examine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political, economic and social factors which led to conflict in North America</w:t>
            </w:r>
          </w:p>
          <w:p w:rsidR="00EF18F4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Evaluate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ways in which individuals and events have affected historical outcomes</w:t>
            </w:r>
          </w:p>
        </w:tc>
        <w:tc>
          <w:tcPr>
            <w:tcW w:w="4500" w:type="dxa"/>
          </w:tcPr>
          <w:p w:rsidR="00EF18F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Evaluate political Cartoons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from the colonial period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Primary Source Analysis of the Declaration of Independence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Classroom Debates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313324" w:rsidRPr="005F6467" w:rsidRDefault="003133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2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2.5</w:t>
            </w:r>
          </w:p>
        </w:tc>
        <w:tc>
          <w:tcPr>
            <w:tcW w:w="8018" w:type="dxa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sz w:val="24"/>
                <w:szCs w:val="24"/>
              </w:rPr>
              <w:t>No major errors or omissions regarding 2.0 content, and partial success at score 3.0 content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F18F4" w:rsidRPr="005F6467" w:rsidTr="001658DB">
        <w:trPr>
          <w:trHeight w:val="70"/>
        </w:trPr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450" w:type="dxa"/>
            <w:gridSpan w:val="2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vocabulary, concepts, peopl</w:t>
            </w:r>
            <w:r w:rsidR="005F6467" w:rsidRPr="005F6467">
              <w:rPr>
                <w:rFonts w:asciiTheme="majorHAnsi" w:hAnsiTheme="majorHAnsi"/>
                <w:sz w:val="24"/>
                <w:szCs w:val="24"/>
              </w:rPr>
              <w:t>e, places and events related to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Colonization, English Colonies, the American Revolution and other ideologies of the foundations of the Colonial Period.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Can identify and/or explain key terms relevant to course textbook/level such as: the process of colonization, causes and effects of colonization, regional/geographical variations, economic ideas and the practice of mercantilism and capitalism, consequences on Native American groups, the Declaration of Independence, cause and effects of the American Revolution.  </w:t>
            </w:r>
          </w:p>
        </w:tc>
        <w:tc>
          <w:tcPr>
            <w:tcW w:w="450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Organize/represent/interpret data from the colonial period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2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1.5</w:t>
            </w:r>
          </w:p>
        </w:tc>
        <w:tc>
          <w:tcPr>
            <w:tcW w:w="8018" w:type="dxa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sz w:val="24"/>
                <w:szCs w:val="24"/>
              </w:rPr>
              <w:t>Partial success at score 2.0 content, and major errors or omissions regarding 3.0 content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450" w:type="dxa"/>
            <w:gridSpan w:val="2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2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0.5</w:t>
            </w:r>
          </w:p>
        </w:tc>
        <w:tc>
          <w:tcPr>
            <w:tcW w:w="8018" w:type="dxa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sz w:val="24"/>
                <w:szCs w:val="24"/>
              </w:rPr>
              <w:t>With help, partial success at score 2.0 content but not at score 3.0 content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EF18F4" w:rsidRPr="005F6467" w:rsidRDefault="00EF18F4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450" w:type="dxa"/>
            <w:gridSpan w:val="2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5F6467">
      <w:pgSz w:w="15840" w:h="12240" w:orient="landscape"/>
      <w:pgMar w:top="576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13783D"/>
    <w:rsid w:val="00147753"/>
    <w:rsid w:val="001658DB"/>
    <w:rsid w:val="002744F5"/>
    <w:rsid w:val="002E720A"/>
    <w:rsid w:val="00313324"/>
    <w:rsid w:val="00314260"/>
    <w:rsid w:val="00402F66"/>
    <w:rsid w:val="00445791"/>
    <w:rsid w:val="005F6467"/>
    <w:rsid w:val="008236F8"/>
    <w:rsid w:val="008E7839"/>
    <w:rsid w:val="009E6B87"/>
    <w:rsid w:val="00A6513C"/>
    <w:rsid w:val="00B27C5D"/>
    <w:rsid w:val="00B76725"/>
    <w:rsid w:val="00B771DB"/>
    <w:rsid w:val="00BB55A0"/>
    <w:rsid w:val="00DD3B61"/>
    <w:rsid w:val="00E30360"/>
    <w:rsid w:val="00E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14</cp:revision>
  <dcterms:created xsi:type="dcterms:W3CDTF">2014-06-30T13:33:00Z</dcterms:created>
  <dcterms:modified xsi:type="dcterms:W3CDTF">2014-06-30T14:51:00Z</dcterms:modified>
</cp:coreProperties>
</file>