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713"/>
        <w:gridCol w:w="6432"/>
        <w:gridCol w:w="4892"/>
      </w:tblGrid>
      <w:tr w:rsidR="00337175" w14:paraId="662A81FA" w14:textId="77777777" w:rsidTr="00732BBB">
        <w:tc>
          <w:tcPr>
            <w:tcW w:w="13176" w:type="dxa"/>
            <w:gridSpan w:val="4"/>
          </w:tcPr>
          <w:p w14:paraId="00E82D9D" w14:textId="3450FB91" w:rsidR="00337175" w:rsidRPr="00337175" w:rsidRDefault="00337175" w:rsidP="00337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</w:t>
            </w:r>
            <w:r w:rsidR="00475BF0">
              <w:rPr>
                <w:b/>
                <w:sz w:val="24"/>
                <w:szCs w:val="24"/>
              </w:rPr>
              <w:t xml:space="preserve">  Educational Psychology</w:t>
            </w:r>
          </w:p>
        </w:tc>
      </w:tr>
      <w:tr w:rsidR="00337175" w14:paraId="4D8A56C7" w14:textId="77777777" w:rsidTr="00F42F14">
        <w:tc>
          <w:tcPr>
            <w:tcW w:w="13176" w:type="dxa"/>
            <w:gridSpan w:val="4"/>
          </w:tcPr>
          <w:p w14:paraId="07C93887" w14:textId="2538E037" w:rsidR="00337175" w:rsidRPr="00337175" w:rsidRDefault="00337175" w:rsidP="00337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  <w:r w:rsidR="00D217F9">
              <w:rPr>
                <w:b/>
                <w:sz w:val="24"/>
                <w:szCs w:val="24"/>
              </w:rPr>
              <w:t xml:space="preserve">  Learning and Motivation</w:t>
            </w:r>
          </w:p>
        </w:tc>
      </w:tr>
      <w:tr w:rsidR="00337175" w14:paraId="7D60DE92" w14:textId="77777777" w:rsidTr="001B6CA2">
        <w:tc>
          <w:tcPr>
            <w:tcW w:w="13176" w:type="dxa"/>
            <w:gridSpan w:val="4"/>
          </w:tcPr>
          <w:p w14:paraId="4F2FF1ED" w14:textId="2A462E71" w:rsidR="00337175" w:rsidRPr="00337175" w:rsidRDefault="00F10C0F" w:rsidP="00337175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337175">
              <w:rPr>
                <w:b/>
              </w:rPr>
              <w:t>:</w:t>
            </w:r>
            <w:r w:rsidR="00475BF0">
              <w:rPr>
                <w:b/>
              </w:rPr>
              <w:t xml:space="preserve">  10-12</w:t>
            </w:r>
          </w:p>
        </w:tc>
      </w:tr>
      <w:tr w:rsidR="00337175" w14:paraId="1520E5D6" w14:textId="77777777" w:rsidTr="00B83E44">
        <w:tc>
          <w:tcPr>
            <w:tcW w:w="918" w:type="dxa"/>
            <w:vMerge w:val="restart"/>
          </w:tcPr>
          <w:p w14:paraId="08478034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14:paraId="3A0DF36D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61707C44" w14:textId="08686CB4" w:rsidR="00475BF0" w:rsidRPr="007B59D0" w:rsidRDefault="00D217F9" w:rsidP="00337175">
            <w:pPr>
              <w:jc w:val="center"/>
            </w:pPr>
            <w:r w:rsidRPr="007B59D0">
              <w:t>Students will understand the impact of cognitive views of learning, behavioral views of learning, social-cognitive views of learning, and impact of motivation on teaching and learning.</w:t>
            </w:r>
          </w:p>
          <w:p w14:paraId="444080B4" w14:textId="77777777" w:rsidR="00337175" w:rsidRPr="00337175" w:rsidRDefault="00337175" w:rsidP="00D217F9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14:paraId="799646A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633D0EBF" w14:textId="77777777" w:rsidTr="00491D3B">
        <w:tc>
          <w:tcPr>
            <w:tcW w:w="918" w:type="dxa"/>
            <w:vMerge/>
          </w:tcPr>
          <w:p w14:paraId="2A1DF7B8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14:paraId="5AB5116E" w14:textId="77777777" w:rsidR="00337175" w:rsidRDefault="00337175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2C13C57C" w14:textId="4C14DB3E" w:rsidR="00D217F9" w:rsidRDefault="00D217F9" w:rsidP="00D217F9">
            <w:pPr>
              <w:pStyle w:val="ListParagraph"/>
              <w:numPr>
                <w:ilvl w:val="0"/>
                <w:numId w:val="4"/>
              </w:numPr>
            </w:pPr>
            <w:r>
              <w:t xml:space="preserve"> Create and participate in a “learning” experiment</w:t>
            </w:r>
          </w:p>
          <w:p w14:paraId="572BBB74" w14:textId="33A7B616" w:rsidR="00D217F9" w:rsidRDefault="00D217F9" w:rsidP="00D217F9">
            <w:pPr>
              <w:pStyle w:val="ListParagraph"/>
              <w:numPr>
                <w:ilvl w:val="0"/>
                <w:numId w:val="4"/>
              </w:numPr>
            </w:pPr>
            <w:r>
              <w:t>Create memory assessments</w:t>
            </w:r>
          </w:p>
          <w:p w14:paraId="44013A51" w14:textId="1ED5AADF" w:rsidR="00D217F9" w:rsidRDefault="00D217F9" w:rsidP="00D217F9">
            <w:pPr>
              <w:pStyle w:val="ListParagraph"/>
              <w:numPr>
                <w:ilvl w:val="0"/>
                <w:numId w:val="4"/>
              </w:numPr>
            </w:pPr>
            <w:r>
              <w:t>Create a personal motivation poster</w:t>
            </w:r>
          </w:p>
          <w:p w14:paraId="0608FB9E" w14:textId="375DDB61" w:rsidR="00D217F9" w:rsidRDefault="00D217F9" w:rsidP="007B59D0">
            <w:pPr>
              <w:ind w:left="360"/>
            </w:pPr>
          </w:p>
          <w:p w14:paraId="6F6A7CA7" w14:textId="52F42E8B" w:rsidR="00475BF0" w:rsidRDefault="00475BF0"/>
        </w:tc>
      </w:tr>
      <w:tr w:rsidR="00D217F9" w14:paraId="7B5BD199" w14:textId="77777777" w:rsidTr="00491D3B">
        <w:tc>
          <w:tcPr>
            <w:tcW w:w="918" w:type="dxa"/>
          </w:tcPr>
          <w:p w14:paraId="386BADCC" w14:textId="21A97E45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5F740FB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14:paraId="498496CE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14:paraId="7E9A2A75" w14:textId="77777777" w:rsidR="00337175" w:rsidRDefault="00337175"/>
        </w:tc>
      </w:tr>
      <w:tr w:rsidR="00337175" w14:paraId="60A2D13D" w14:textId="77777777" w:rsidTr="00491D3B">
        <w:tc>
          <w:tcPr>
            <w:tcW w:w="918" w:type="dxa"/>
          </w:tcPr>
          <w:p w14:paraId="0C84C79B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14:paraId="5CEA43DF" w14:textId="77777777" w:rsidR="00491D3B" w:rsidRDefault="00491D3B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0AD4BEE9" w14:textId="4F653F71" w:rsidR="007B59D0" w:rsidRDefault="007B59D0">
            <w:r>
              <w:rPr>
                <w:b/>
              </w:rPr>
              <w:t>-</w:t>
            </w:r>
            <w:r w:rsidRPr="007B59D0">
              <w:t>Define lear</w:t>
            </w:r>
            <w:r>
              <w:t>ning from a behavior perspective</w:t>
            </w:r>
          </w:p>
          <w:p w14:paraId="7A3FBFAB" w14:textId="0D662CE9" w:rsidR="007B59D0" w:rsidRDefault="007B59D0">
            <w:r>
              <w:t>-Apply behavioral approaches to modifying behavior inside and outside the classroom</w:t>
            </w:r>
          </w:p>
          <w:p w14:paraId="23D590AE" w14:textId="4AEF9AAA" w:rsidR="007B59D0" w:rsidRDefault="007B59D0">
            <w:r>
              <w:t>-Explain early information processing modes of memory</w:t>
            </w:r>
          </w:p>
          <w:p w14:paraId="650D393B" w14:textId="5066E70B" w:rsidR="007B59D0" w:rsidRDefault="007B59D0">
            <w:r>
              <w:t>-Describe current views of long term memory</w:t>
            </w:r>
          </w:p>
          <w:p w14:paraId="16BA6E23" w14:textId="55E4B393" w:rsidR="007B59D0" w:rsidRDefault="007B59D0">
            <w:r>
              <w:t>-Define basic principles of social-cognitive theories of learning and motivation</w:t>
            </w:r>
          </w:p>
          <w:p w14:paraId="41CA041D" w14:textId="2B17B074" w:rsidR="007B59D0" w:rsidRDefault="007B59D0">
            <w:r>
              <w:t xml:space="preserve">-Apply knowledge to teach for </w:t>
            </w:r>
            <w:proofErr w:type="spellStart"/>
            <w:r>
              <w:t>self efficacy</w:t>
            </w:r>
            <w:proofErr w:type="spellEnd"/>
            <w:r>
              <w:t xml:space="preserve"> and </w:t>
            </w:r>
            <w:proofErr w:type="spellStart"/>
            <w:r>
              <w:t>self regulated</w:t>
            </w:r>
            <w:proofErr w:type="spellEnd"/>
            <w:r>
              <w:t xml:space="preserve"> learning</w:t>
            </w:r>
          </w:p>
          <w:p w14:paraId="46D9217D" w14:textId="78636979" w:rsidR="007B59D0" w:rsidRPr="00F10C0F" w:rsidRDefault="007B59D0">
            <w:pPr>
              <w:rPr>
                <w:b/>
              </w:rPr>
            </w:pPr>
            <w:r>
              <w:t>-Define motivation and the different explanations for learning motivation</w:t>
            </w:r>
          </w:p>
          <w:p w14:paraId="4153BF82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44E6BD8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63020C68" w14:textId="25954246" w:rsidR="00337175" w:rsidRPr="00491D3B" w:rsidRDefault="00475BF0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above</w:t>
            </w:r>
          </w:p>
        </w:tc>
      </w:tr>
      <w:tr w:rsidR="00D217F9" w14:paraId="5CA2D52F" w14:textId="77777777" w:rsidTr="00491D3B">
        <w:tc>
          <w:tcPr>
            <w:tcW w:w="918" w:type="dxa"/>
          </w:tcPr>
          <w:p w14:paraId="6141FABB" w14:textId="12E69FF7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B3CD584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14:paraId="27D7ECEA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14:paraId="21A89D2F" w14:textId="77777777" w:rsidR="00337175" w:rsidRDefault="00337175"/>
        </w:tc>
      </w:tr>
      <w:tr w:rsidR="00337175" w14:paraId="676FEC44" w14:textId="77777777" w:rsidTr="00491D3B">
        <w:tc>
          <w:tcPr>
            <w:tcW w:w="918" w:type="dxa"/>
          </w:tcPr>
          <w:p w14:paraId="6DD9665B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14:paraId="48389BAE" w14:textId="32A9D1D2" w:rsidR="00491D3B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18D22E23" w14:textId="77777777" w:rsidR="007B59D0" w:rsidRDefault="007B59D0">
            <w:pPr>
              <w:rPr>
                <w:b/>
              </w:rPr>
            </w:pPr>
          </w:p>
          <w:p w14:paraId="5240ACD6" w14:textId="414E16A8" w:rsidR="007B59D0" w:rsidRPr="00F10C0F" w:rsidRDefault="007B59D0">
            <w:pPr>
              <w:rPr>
                <w:b/>
              </w:rPr>
            </w:pPr>
            <w:r>
              <w:rPr>
                <w:b/>
              </w:rPr>
              <w:t xml:space="preserve">-learning, continuity, classical conditioning, operant conditioning, applied behavior analysis, </w:t>
            </w:r>
            <w:proofErr w:type="spellStart"/>
            <w:r>
              <w:rPr>
                <w:b/>
              </w:rPr>
              <w:t>Premack</w:t>
            </w:r>
            <w:proofErr w:type="spellEnd"/>
            <w:r>
              <w:rPr>
                <w:b/>
              </w:rPr>
              <w:t xml:space="preserve"> Principle, cognitive science, information processing, perception, working memory, levels of processing, long term memory, social learning theory, observational learning, </w:t>
            </w:r>
            <w:proofErr w:type="spellStart"/>
            <w:r>
              <w:rPr>
                <w:b/>
              </w:rPr>
              <w:t>self efficacy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amotivation</w:t>
            </w:r>
            <w:proofErr w:type="spellEnd"/>
            <w:r>
              <w:rPr>
                <w:b/>
              </w:rPr>
              <w:t>, intrinsic motivation, extrinsic motivation</w:t>
            </w:r>
            <w:bookmarkStart w:id="0" w:name="_GoBack"/>
            <w:bookmarkEnd w:id="0"/>
          </w:p>
          <w:p w14:paraId="6E24D658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163FE9B6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2CF5A962" w14:textId="6A1C364B" w:rsidR="00337175" w:rsidRPr="00491D3B" w:rsidRDefault="00475BF0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See above</w:t>
            </w:r>
          </w:p>
        </w:tc>
      </w:tr>
      <w:tr w:rsidR="00D217F9" w14:paraId="614F1B54" w14:textId="77777777" w:rsidTr="00491D3B">
        <w:tc>
          <w:tcPr>
            <w:tcW w:w="918" w:type="dxa"/>
          </w:tcPr>
          <w:p w14:paraId="4BC7DA79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4D1531C4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14:paraId="412315ED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14:paraId="7A0D0A3F" w14:textId="77777777" w:rsidR="00491D3B" w:rsidRDefault="00491D3B"/>
        </w:tc>
      </w:tr>
      <w:tr w:rsidR="00491D3B" w14:paraId="555A0044" w14:textId="77777777" w:rsidTr="00491D3B">
        <w:tc>
          <w:tcPr>
            <w:tcW w:w="918" w:type="dxa"/>
          </w:tcPr>
          <w:p w14:paraId="32D85CE1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14:paraId="316FE4C7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14:paraId="2CA8733F" w14:textId="77777777" w:rsidR="00491D3B" w:rsidRDefault="00491D3B"/>
        </w:tc>
      </w:tr>
      <w:tr w:rsidR="00D217F9" w14:paraId="681C10FF" w14:textId="77777777" w:rsidTr="00491D3B">
        <w:tc>
          <w:tcPr>
            <w:tcW w:w="918" w:type="dxa"/>
          </w:tcPr>
          <w:p w14:paraId="78C91C5F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56526963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14:paraId="32A1E4FD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14:paraId="07DA9894" w14:textId="77777777" w:rsidR="00491D3B" w:rsidRDefault="00491D3B"/>
        </w:tc>
      </w:tr>
      <w:tr w:rsidR="00491D3B" w14:paraId="2B1051E0" w14:textId="77777777" w:rsidTr="00491D3B">
        <w:tc>
          <w:tcPr>
            <w:tcW w:w="918" w:type="dxa"/>
          </w:tcPr>
          <w:p w14:paraId="17C4FF6D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14:paraId="7B87A49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14:paraId="1DC1B382" w14:textId="77777777" w:rsidR="00491D3B" w:rsidRDefault="00491D3B"/>
        </w:tc>
      </w:tr>
    </w:tbl>
    <w:p w14:paraId="2C21DB70" w14:textId="77777777" w:rsidR="00097788" w:rsidRDefault="00097788"/>
    <w:sectPr w:rsidR="00097788" w:rsidSect="00337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52F6F" w14:textId="77777777" w:rsidR="00A63C87" w:rsidRDefault="00A63C87" w:rsidP="00C72328">
      <w:pPr>
        <w:spacing w:after="0" w:line="240" w:lineRule="auto"/>
      </w:pPr>
      <w:r>
        <w:separator/>
      </w:r>
    </w:p>
  </w:endnote>
  <w:endnote w:type="continuationSeparator" w:id="0">
    <w:p w14:paraId="46D95BA0" w14:textId="77777777" w:rsidR="00A63C87" w:rsidRDefault="00A63C87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E6302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C9E24" w14:textId="77777777" w:rsidR="00C72328" w:rsidRDefault="00C72328" w:rsidP="00C72328">
    <w:pPr>
      <w:pStyle w:val="Footer"/>
      <w:jc w:val="right"/>
    </w:pPr>
    <w:r>
      <w:t>©2010 Marzano Research Laboratory</w:t>
    </w:r>
  </w:p>
  <w:p w14:paraId="713BB04E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D336B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7B738" w14:textId="77777777" w:rsidR="00A63C87" w:rsidRDefault="00A63C87" w:rsidP="00C72328">
      <w:pPr>
        <w:spacing w:after="0" w:line="240" w:lineRule="auto"/>
      </w:pPr>
      <w:r>
        <w:separator/>
      </w:r>
    </w:p>
  </w:footnote>
  <w:footnote w:type="continuationSeparator" w:id="0">
    <w:p w14:paraId="28D311B1" w14:textId="77777777" w:rsidR="00A63C87" w:rsidRDefault="00A63C87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F96B7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6A141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E67EA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CC7281"/>
    <w:multiLevelType w:val="hybridMultilevel"/>
    <w:tmpl w:val="E33AA7D6"/>
    <w:lvl w:ilvl="0" w:tplc="A39C3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7788"/>
    <w:rsid w:val="002B1126"/>
    <w:rsid w:val="00337175"/>
    <w:rsid w:val="003B5035"/>
    <w:rsid w:val="004178D4"/>
    <w:rsid w:val="00475BF0"/>
    <w:rsid w:val="00491D3B"/>
    <w:rsid w:val="005A29D5"/>
    <w:rsid w:val="007B59D0"/>
    <w:rsid w:val="008F7044"/>
    <w:rsid w:val="00A63C87"/>
    <w:rsid w:val="00C72328"/>
    <w:rsid w:val="00CD3F8C"/>
    <w:rsid w:val="00D103EC"/>
    <w:rsid w:val="00D217F9"/>
    <w:rsid w:val="00D225E2"/>
    <w:rsid w:val="00DB7CA4"/>
    <w:rsid w:val="00E54BA6"/>
    <w:rsid w:val="00F10C0F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B5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Yanoski</dc:creator>
  <cp:lastModifiedBy>Ashley Carpenter</cp:lastModifiedBy>
  <cp:revision>2</cp:revision>
  <dcterms:created xsi:type="dcterms:W3CDTF">2018-07-17T13:09:00Z</dcterms:created>
  <dcterms:modified xsi:type="dcterms:W3CDTF">2018-07-17T13:09:00Z</dcterms:modified>
</cp:coreProperties>
</file>