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BF4134" w:rsidRPr="00754A47" w:rsidTr="007C39C3">
        <w:tc>
          <w:tcPr>
            <w:tcW w:w="10044" w:type="dxa"/>
            <w:gridSpan w:val="2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Criminology</w:t>
            </w:r>
            <w:bookmarkStart w:id="0" w:name="_GoBack"/>
            <w:bookmarkEnd w:id="0"/>
          </w:p>
        </w:tc>
        <w:tc>
          <w:tcPr>
            <w:tcW w:w="4356" w:type="dxa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F4134" w:rsidRPr="00754A47" w:rsidTr="007C39C3">
        <w:tc>
          <w:tcPr>
            <w:tcW w:w="10044" w:type="dxa"/>
            <w:gridSpan w:val="2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F4134">
              <w:rPr>
                <w:rFonts w:asciiTheme="majorHAnsi" w:hAnsiTheme="majorHAnsi"/>
                <w:b/>
                <w:sz w:val="24"/>
                <w:szCs w:val="24"/>
              </w:rPr>
              <w:t xml:space="preserve">Unit 5: Drug Crimes and Crime Statistics </w:t>
            </w:r>
            <w:r w:rsidRPr="002A798F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BF4134" w:rsidRPr="00754A47" w:rsidTr="007C39C3">
        <w:tc>
          <w:tcPr>
            <w:tcW w:w="10044" w:type="dxa"/>
            <w:gridSpan w:val="2"/>
          </w:tcPr>
          <w:p w:rsidR="00BF4134" w:rsidRPr="00754A47" w:rsidRDefault="00BF4134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Drugs, smuggling, UCR statistics, crime </w:t>
            </w:r>
            <w:r w:rsidR="005133D1">
              <w:rPr>
                <w:rFonts w:asciiTheme="majorHAnsi" w:hAnsiTheme="majorHAnsi"/>
                <w:b/>
                <w:sz w:val="24"/>
                <w:szCs w:val="24"/>
              </w:rPr>
              <w:t>mapping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F4134" w:rsidRPr="00754A47" w:rsidTr="007C39C3">
        <w:tc>
          <w:tcPr>
            <w:tcW w:w="10044" w:type="dxa"/>
            <w:gridSpan w:val="2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Grade 11 and </w:t>
            </w: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BF4134" w:rsidRPr="00754A47" w:rsidRDefault="00BF4134" w:rsidP="007C39C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F4134" w:rsidRPr="00754A47" w:rsidTr="007C39C3">
        <w:tc>
          <w:tcPr>
            <w:tcW w:w="1125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BF4134" w:rsidRPr="00754A47" w:rsidRDefault="00BF4134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Compare current drug issues in our community with nation issues and come up with solutions that would benefit our own community the best.</w:t>
            </w:r>
          </w:p>
        </w:tc>
      </w:tr>
      <w:tr w:rsidR="00BF4134" w:rsidRPr="00754A47" w:rsidTr="007C39C3">
        <w:tc>
          <w:tcPr>
            <w:tcW w:w="1125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BF4134" w:rsidRPr="001D4DB4" w:rsidRDefault="00BF4134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BF4134" w:rsidRPr="005133D1" w:rsidRDefault="00BF4134" w:rsidP="005133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F7B80">
              <w:rPr>
                <w:rFonts w:asciiTheme="majorHAnsi" w:eastAsia="Times New Roman" w:hAnsiTheme="majorHAnsi" w:cs="Times New Roman"/>
                <w:sz w:val="24"/>
                <w:szCs w:val="24"/>
              </w:rPr>
              <w:t>Identify vocabulary, concepts, and events related to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drug crimes and crime statistics including, but not limited to, </w:t>
            </w:r>
            <w:r w:rsidRPr="00BF4134">
              <w:rPr>
                <w:rFonts w:asciiTheme="majorHAnsi" w:eastAsia="Times New Roman" w:hAnsiTheme="majorHAnsi" w:cs="Times New Roman"/>
                <w:sz w:val="24"/>
                <w:szCs w:val="24"/>
              </w:rPr>
              <w:t>Smuggling, social convention, psychotherapeutic, hallucinogens, money laundering, insurgent groups, asset of forfeiture, interdiction, crop control, decriminalization, UCR, Larceny, arson</w:t>
            </w:r>
          </w:p>
          <w:p w:rsidR="005133D1" w:rsidRPr="005133D1" w:rsidRDefault="005133D1" w:rsidP="005133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</w:t>
            </w:r>
            <w:r w:rsidRPr="005133D1">
              <w:rPr>
                <w:rFonts w:asciiTheme="majorHAnsi" w:eastAsia="Times New Roman" w:hAnsiTheme="majorHAnsi" w:cs="Times New Roman"/>
                <w:sz w:val="24"/>
                <w:szCs w:val="24"/>
              </w:rPr>
              <w:t>ompare and contrast the impact of drugs on America versus the ways we are combating the drug problem.</w:t>
            </w:r>
          </w:p>
          <w:p w:rsidR="00BF4134" w:rsidRPr="005133D1" w:rsidRDefault="005133D1" w:rsidP="005133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A</w:t>
            </w:r>
            <w:r w:rsidRPr="005133D1">
              <w:rPr>
                <w:rFonts w:asciiTheme="majorHAnsi" w:eastAsia="Times New Roman" w:hAnsiTheme="majorHAnsi" w:cs="Times New Roman"/>
                <w:sz w:val="24"/>
                <w:szCs w:val="24"/>
              </w:rPr>
              <w:t>nalyze and describe how crime data is used to track crime and fight it.</w:t>
            </w:r>
          </w:p>
          <w:p w:rsidR="00BF4134" w:rsidRPr="00521BE6" w:rsidRDefault="00BF4134" w:rsidP="007C39C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Express opinions</w:t>
            </w:r>
            <w:r w:rsidR="005133D1">
              <w:rPr>
                <w:rFonts w:asciiTheme="majorHAnsi" w:hAnsiTheme="majorHAnsi"/>
                <w:sz w:val="24"/>
                <w:szCs w:val="24"/>
              </w:rPr>
              <w:t xml:space="preserve"> on the drug issues in America</w:t>
            </w:r>
          </w:p>
          <w:p w:rsidR="00BF4134" w:rsidRPr="00754A47" w:rsidRDefault="00BF4134" w:rsidP="007C39C3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stud</w:t>
            </w:r>
            <w:r w:rsidR="005133D1">
              <w:rPr>
                <w:rFonts w:asciiTheme="majorHAnsi" w:hAnsiTheme="majorHAnsi"/>
                <w:sz w:val="24"/>
                <w:szCs w:val="24"/>
              </w:rPr>
              <w:t>y from the UCR statistics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 </w:t>
            </w:r>
          </w:p>
        </w:tc>
      </w:tr>
      <w:tr w:rsidR="00BF4134" w:rsidRPr="00754A47" w:rsidTr="007C39C3">
        <w:tc>
          <w:tcPr>
            <w:tcW w:w="1125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BF4134" w:rsidRPr="00521BE6" w:rsidRDefault="00BF4134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B66243" w:rsidRPr="00B66243" w:rsidRDefault="00B66243" w:rsidP="00B66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66243">
              <w:rPr>
                <w:rFonts w:asciiTheme="majorHAnsi" w:hAnsiTheme="majorHAnsi" w:cs="Arial"/>
                <w:color w:val="000000"/>
              </w:rPr>
              <w:t>I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dentify</w:t>
            </w: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the </w:t>
            </w: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>effects</w:t>
            </w: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of drugs on our country.</w:t>
            </w:r>
          </w:p>
          <w:p w:rsidR="00B66243" w:rsidRPr="00B66243" w:rsidRDefault="00B66243" w:rsidP="00B66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Formulate</w:t>
            </w: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opinions on how to fight the drug problem.</w:t>
            </w:r>
          </w:p>
          <w:p w:rsidR="00B66243" w:rsidRPr="00B66243" w:rsidRDefault="00B66243" w:rsidP="00B66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</w:rPr>
              <w:t>Understand</w:t>
            </w: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how crime data is tracked within the UCR.</w:t>
            </w:r>
          </w:p>
          <w:p w:rsidR="00BF4134" w:rsidRPr="00B66243" w:rsidRDefault="00B66243" w:rsidP="00B662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66243">
              <w:rPr>
                <w:rFonts w:asciiTheme="majorHAnsi" w:hAnsiTheme="majorHAnsi" w:cs="Arial"/>
                <w:color w:val="000000"/>
                <w:sz w:val="24"/>
                <w:szCs w:val="24"/>
              </w:rPr>
              <w:t>Identifying how police use crime data to fight crime.</w:t>
            </w:r>
          </w:p>
        </w:tc>
        <w:tc>
          <w:tcPr>
            <w:tcW w:w="4356" w:type="dxa"/>
          </w:tcPr>
          <w:p w:rsidR="00BF4134" w:rsidRPr="00754A47" w:rsidRDefault="00BF4134" w:rsidP="007C3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</w:p>
          <w:p w:rsidR="00BF4134" w:rsidRPr="00754A47" w:rsidRDefault="00BF4134" w:rsidP="007C39C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BF4134" w:rsidRPr="00754A47" w:rsidTr="007C39C3">
        <w:tc>
          <w:tcPr>
            <w:tcW w:w="1125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BF4134" w:rsidRPr="00754A47" w:rsidTr="007C39C3">
        <w:trPr>
          <w:trHeight w:val="70"/>
        </w:trPr>
        <w:tc>
          <w:tcPr>
            <w:tcW w:w="1125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BF4134" w:rsidRPr="00754A47" w:rsidRDefault="00BF4134" w:rsidP="007C39C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76A30" w:rsidRDefault="00E76A30"/>
    <w:sectPr w:rsidR="00E76A30" w:rsidSect="00BF4134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34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133D1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6243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BF413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7413D-A272-4AC9-8FB1-C1B4688D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3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1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2016-07-21T12:24:00Z</dcterms:created>
  <dcterms:modified xsi:type="dcterms:W3CDTF">2016-07-21T12:47:00Z</dcterms:modified>
</cp:coreProperties>
</file>