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Pre-Algebra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Course Compendium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UNITS OF STUDY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1-</w:t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Variables, Expressions, and Integers, 4 weeks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2-</w:t>
        <w:tab/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Solving Equations, 4 weeks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3-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Multi-Step Equations and Inequalities, 4 weeks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4-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Factors, Fractions, and Exponents, 4 weeks</w:t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5-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Rational Numbers and Equations, 3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6-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Ratios, Proportions, Percents, and Probability, 4 weeks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7-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Measurement, Area, Volume, Angle Relationships, 5 weeks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8-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Data Analysis and Probability, 4 weeks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9-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Linear Numbers, 4 weeks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10-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Irrational Numbers and Nonlinear Functions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3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INTERDISCIPLINARY CONNECTIONS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NJSLS Companion Standards Grades 6-8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</w:rPr>
      </w:pPr>
      <w:hyperlink r:id="rId6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RST.6-8.3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Follow precisely a multistep procedure when carrying out experiments, taking measurements, or performing technical tasks.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hyperlink r:id="rId7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RST.6-8.4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Determine the meaning of symbols, key terms, and other domain-specific words and phrases as they are used in a specific scientific or technical context relevant to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grades 6-8 texts and topics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</w:rPr>
      </w:pPr>
      <w:hyperlink r:id="rId8">
        <w:r w:rsidDel="00000000" w:rsidR="00000000" w:rsidRPr="00000000">
          <w:rPr>
            <w:rFonts w:ascii="Cambria" w:cs="Cambria" w:eastAsia="Cambria" w:hAnsi="Cambria"/>
            <w:b w:val="1"/>
            <w:rtl w:val="0"/>
          </w:rPr>
          <w:t xml:space="preserve">RST.6-8.7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Integrate quantitative or technical information expressed in words in a text with a version of that information expressed visually (e.g., in a flowchart, diagram, model, graph, or table).</w:t>
      </w:r>
    </w:p>
    <w:p w:rsidR="00000000" w:rsidDel="00000000" w:rsidP="00000000" w:rsidRDefault="00000000" w:rsidRPr="00000000" w14:paraId="00000014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NJSLSA.W4.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Produce clear and coherent writing in which the development, organization, and style are appropriate to task, purpose, and audience.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21st Century Life and Careers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Apply appropriate academic and technical skills.</w:t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  <w:tab/>
        <w:t xml:space="preserve">Communicate clearly and effectively and with reason.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CRP11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Use technology to enhance productivity.</w:t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9.3.ST.2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Use technology to acquire, manipulate, analyze and report data.</w:t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9.3.ST.4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Understand the nature and scope of the Science, Technology, Engineering &amp; Mathematics Career Cluster and the role of STEM in society and the economy.</w:t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Technology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8.1.8.A.1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Demonstrate knowledge of a real world problem using digital tools.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8.2.8.E.1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Identify ways computers are used that have had an impact across the range of human activity and within different careers where they are used. 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8.1.8.D.1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Understand and model appropriate online behaviors related to cyber safety, cyber bullying, cyber security, and cyber ethics including appropriate use of social media.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8.2.8.C.1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Explain how different teams/groups can contribute to the overall design of a product.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8.2.8.C.8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highlight w:val="white"/>
          <w:rtl w:val="0"/>
        </w:rPr>
        <w:t xml:space="preserve">Develop a proposal for a chosen solution that include models (physical, graphical or mathematical) to communicate the solution to peers.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20" w:right="1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5700"/>
        <w:gridCol w:w="4335"/>
        <w:tblGridChange w:id="0">
          <w:tblGrid>
            <w:gridCol w:w="4365"/>
            <w:gridCol w:w="5700"/>
            <w:gridCol w:w="4335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CONSIDERATIONS FOR DIVERSE LEARNERS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Language Learners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Receiving Special Education Services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Learners</w:t>
            </w:r>
          </w:p>
        </w:tc>
      </w:tr>
      <w:tr>
        <w:trPr>
          <w:trHeight w:val="176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Can Do Descriptors for Grades 6-8</w:t>
              </w:r>
            </w:hyperlink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Essential Actions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FABRIC Paradigm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Wall Township ESL Grading Protocol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*Use WIDA Can Do Descriptors in coordination with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Student Language Portraits (SLPs)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ELLs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Personal glossary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Text-to-speech 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Extended time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Simplified / verbal instructions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Frequent breaks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Small group/One to one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Additional time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Review of directions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Student restates information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Extra visual and verbal cues and prompts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Verbal and visual cues regarding directions and staying on task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Checklists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Immediate feedback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Jersey Tiered System of Supports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National Center on Universal Design for Learning - About UDL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Checklist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Key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Response to Intervention: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Reteach to Build Understanding, Additional Vocabulary Support, Build Mathematical Literacy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within this class receiving Special Education/Section 504 programming have specific goals and objectives, as well as accommodations and modifications outlined within their Individualized Education Plans (IEP)/504 Plans due to an identified disability and/or diagnosis. In addition to exposure to the general education curriculum, instruction is differentiated based upon the student's needs. The IEP/504 Plan acts as a supplemental curriculum guide inclusive of instructional strategies that support each specific learner.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Special Education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Presentatio</w:t>
            </w:r>
            <w:r w:rsidDel="00000000" w:rsidR="00000000" w:rsidRPr="00000000">
              <w:rPr>
                <w:b w:val="1"/>
                <w:rtl w:val="0"/>
              </w:rPr>
              <w:t xml:space="preserve">n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Listen to audio recordings instead of reading text 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Pre-teach unknown vocabulary through pictures or videos, and relate to prior knowledge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with fewer items per page and/or materials in a larger print size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visual blocker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visual presentations of verbal material, such as word webs and visual organizers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Be given a written list of instructions/picture cues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Response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Give responses in a form (oral or written) that’s easier for him/her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Dictate answers to a scribe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Capture responses on an audio recorder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spelling dictionary or electronic spell-checker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word processor to give responses in class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calculator or table of “math facts”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Setting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or take a test in a different setting, such as a quiet room with few distractions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Sit where he/she learns best (for example, near the teacher)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a test in small group setting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Timing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more time to complete a task or a test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Have extra time to process oral information and directions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frequent breaks, such as after completing a task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Assignmen</w:t>
            </w:r>
            <w:r w:rsidDel="00000000" w:rsidR="00000000" w:rsidRPr="00000000">
              <w:rPr>
                <w:b w:val="1"/>
                <w:rtl w:val="0"/>
              </w:rPr>
              <w:t xml:space="preserve">t modifications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Complete fewer or different homework problems than peers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Shorten assignment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Answer fewer or different test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Create alternate projects or assignments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Knowledge and Skill Standards in Gifted Education for All Teachers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Pre-K-Grade 12 Gifted Programming Standards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Gifted Programming Glossary of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Advanced Learners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Use of high level academic vocabulary/texts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Problem-based learning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Pre-assess to condense curriculum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Interest-based research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Authentic problem-solving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Homogeneous grouping opportunities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with 504 Plans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responsible for implementing designated services and strategies identified on a student’s 504 Plan.</w:t>
            </w:r>
          </w:p>
        </w:tc>
      </w:tr>
      <w:tr>
        <w:trPr>
          <w:trHeight w:val="44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 Risk Learners / Differentiation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Alternative Assessments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Boards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Games and Tournaments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Group Investigations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Guided Reading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Learning Contracts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Leveled Rubrics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Literature Circles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Texts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Personal Agendas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Independent Research &amp; Projects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Intelligence Options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Supplemental Activities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Journal Prompts or RAFT Writing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Activities/Assignments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Products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of Books/Activities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Mini-Workshops to Reteach or Extend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Think-Pair-Share by readiness or interest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Use of Collaboration of Various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Jigsaw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Think-Tac-Toe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Cubing Activities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Exploration by Interest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Flexible Grouping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Goal-Setting with Students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Homework Options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Open-Ended Activities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Use of Reading Buddies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Product Choices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Stations/Centers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Work Alone/Together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276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180.0" w:type="pct"/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80.0" w:type="dxa"/>
              <w:bottom w:w="10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2240" w:w="158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ind w:left="0" w:firstLine="0"/>
      <w:rPr/>
    </w:pPr>
    <w:r w:rsidDel="00000000" w:rsidR="00000000" w:rsidRPr="00000000">
      <w:rPr>
        <w:rFonts w:ascii="Cambria" w:cs="Cambria" w:eastAsia="Cambria" w:hAnsi="Cambria"/>
        <w:i w:val="1"/>
        <w:rtl w:val="0"/>
      </w:rPr>
      <w:t xml:space="preserve">*See individual units for Pacing Guide, NJSLS Standards, Transfer Skills, Enduring Understandings, Essential Questions, Learning Objectives, Key Vocabulary, Skills,  Resources, &amp; Assessments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3bnynRPFgKtxapLCyu8f7y_hIIf9HQvU/view?usp=sharing" TargetMode="External"/><Relationship Id="rId11" Type="http://schemas.openxmlformats.org/officeDocument/2006/relationships/hyperlink" Target="https://drive.google.com/file/d/1R7mxpIl_nttbJf6leydxHWloMs2ykocb/view?usp=sharing" TargetMode="External"/><Relationship Id="rId10" Type="http://schemas.openxmlformats.org/officeDocument/2006/relationships/hyperlink" Target="https://drive.google.com/file/d/1MOkRH7aeYmJ3FwxKsT9bcQJXGfTWkidY/view?usp=sharing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docs.google.com/document/d/1qs-mZZZ9bBPRNsJcSvmMYB1REHPENPy_XQQwGWo7Nhw/edit?usp=sharing" TargetMode="External"/><Relationship Id="rId12" Type="http://schemas.openxmlformats.org/officeDocument/2006/relationships/hyperlink" Target="https://drive.google.com/file/d/1P7F_7Iq9knrCdTXo77tEpoGfVOtH-mPW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0B-j1SG5dErXzODlwUW5wSE82MlE" TargetMode="External"/><Relationship Id="rId15" Type="http://schemas.openxmlformats.org/officeDocument/2006/relationships/hyperlink" Target="http://www.udlcenter.org/aboutudl" TargetMode="External"/><Relationship Id="rId14" Type="http://schemas.openxmlformats.org/officeDocument/2006/relationships/hyperlink" Target="http://www.nj.gov/education/njtss/" TargetMode="External"/><Relationship Id="rId17" Type="http://schemas.openxmlformats.org/officeDocument/2006/relationships/hyperlink" Target="https://drive.google.com/open?id=1GpRJu1U4CGCoBIjF2XlVjlmVnqWYU3P1" TargetMode="External"/><Relationship Id="rId16" Type="http://schemas.openxmlformats.org/officeDocument/2006/relationships/hyperlink" Target="https://drive.google.com/open?id=12ND_gk5do8Cm5udNNsWpC6sHPKlaruqh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kyzci6RjKrwn7Yo-g2su1DS0l8-rOeK4/view?usp=sharing" TargetMode="External"/><Relationship Id="rId6" Type="http://schemas.openxmlformats.org/officeDocument/2006/relationships/hyperlink" Target="http://www.corestandards.org/ELA-Literacy/RST/6-8/3/" TargetMode="External"/><Relationship Id="rId18" Type="http://schemas.openxmlformats.org/officeDocument/2006/relationships/hyperlink" Target="http://www.nagc.org/resources-publications/resources/national-standards-gifted-and-talented-education/knowledge-and" TargetMode="External"/><Relationship Id="rId7" Type="http://schemas.openxmlformats.org/officeDocument/2006/relationships/hyperlink" Target="http://www.corestandards.org/ELA-Literacy/RST/6-8/4/" TargetMode="External"/><Relationship Id="rId8" Type="http://schemas.openxmlformats.org/officeDocument/2006/relationships/hyperlink" Target="http://www.corestandards.org/ELA-Literacy/RST/6-8/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