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Cambria" w:cs="Cambria" w:eastAsia="Cambria" w:hAnsi="Cambria"/>
          <w:b w:val="1"/>
          <w:sz w:val="36"/>
          <w:szCs w:val="36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Latin C</w:t>
      </w:r>
    </w:p>
    <w:p w:rsidR="00000000" w:rsidDel="00000000" w:rsidP="00000000" w:rsidRDefault="00000000" w:rsidRPr="00000000" w14:paraId="00000002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rtl w:val="0"/>
        </w:rPr>
        <w:t xml:space="preserve">Course Compendium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u w:val="single"/>
          <w:rtl w:val="0"/>
        </w:rPr>
        <w:t xml:space="preserve">UNITS OF STUDY</w:t>
      </w: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1-</w:t>
        <w:tab/>
        <w:t xml:space="preserve">The Founding of Rome (12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2-</w:t>
        <w:tab/>
        <w:t xml:space="preserve">The Trojan War (8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mbria" w:cs="Cambria" w:eastAsia="Cambria" w:hAnsi="Cambria"/>
          <w:i w:val="1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3- The Emperors of Rome (8 Weeks)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Unit 4- Heroes and Monsters (12 Weeks)</w:t>
      </w:r>
    </w:p>
    <w:p w:rsidR="00000000" w:rsidDel="00000000" w:rsidP="00000000" w:rsidRDefault="00000000" w:rsidRPr="00000000" w14:paraId="00000009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NJSLS Companion Standards Grades 6-8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1080"/>
        <w:jc w:val="both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NJSLSA.W4.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Produce clear and coherent writing in which the development, organization, and style are appropriate to task, purpose, and audience.</w:t>
      </w:r>
    </w:p>
    <w:p w:rsidR="00000000" w:rsidDel="00000000" w:rsidP="00000000" w:rsidRDefault="00000000" w:rsidRPr="00000000" w14:paraId="0000000E">
      <w:pPr>
        <w:ind w:left="108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Conduct short as well as more sustained research projects, utilizing an inquiry-based research process, based on focused questions, demonstrating understanding of the subject under investigation.</w:t>
      </w:r>
    </w:p>
    <w:p w:rsidR="00000000" w:rsidDel="00000000" w:rsidP="00000000" w:rsidRDefault="00000000" w:rsidRPr="00000000" w14:paraId="0000000F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NJSLSA.W8.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Gather relevant information from multiple print and digital sources, assess the credibility and accuracy of each source, and integrate the information while avoiding plagiarism.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99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Read closely to determine what the text says explicitly and to make logical inferences and relevant connections from it; cite specific textual evidence when writing or speaking to support conclusions drawn from the text.</w:t>
      </w:r>
    </w:p>
    <w:p w:rsidR="00000000" w:rsidDel="00000000" w:rsidP="00000000" w:rsidRDefault="00000000" w:rsidRPr="00000000" w14:paraId="00000012">
      <w:pPr>
        <w:ind w:left="99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NJSLSA.R2.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Determine central ideas or themes of a text and analyze their development; summarize the key supporting details and ideas.</w:t>
      </w:r>
    </w:p>
    <w:p w:rsidR="00000000" w:rsidDel="00000000" w:rsidP="00000000" w:rsidRDefault="00000000" w:rsidRPr="00000000" w14:paraId="00000013">
      <w:pPr>
        <w:ind w:left="99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NJSLSA.R4.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Interpret words and phrases as they are used in a text, including determining technical, connotative, and figurative meanings, and analyze how specific word choices shape meaning or tone.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108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RH.6-8.7.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Integrate visual information (e.g., in charts, graphs, photographs, videos, or maps) with other information in print and digital texts.</w:t>
      </w:r>
    </w:p>
    <w:p w:rsidR="00000000" w:rsidDel="00000000" w:rsidP="00000000" w:rsidRDefault="00000000" w:rsidRPr="00000000" w14:paraId="00000016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RH.6-8.8.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Distinguish among fact, opinion, and reasoned judgment in a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left="90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RST.6-8.7.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Integrate quantitative or technical information expressed in words in a text with a version of that information expressed visually (e.g., in a flowchart, diagram, model, graph, or table).</w:t>
      </w:r>
    </w:p>
    <w:p w:rsidR="00000000" w:rsidDel="00000000" w:rsidP="00000000" w:rsidRDefault="00000000" w:rsidRPr="00000000" w14:paraId="00000019">
      <w:pPr>
        <w:ind w:left="90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RST.6-8.8.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Distinguish among facts, reasoned judgment based on research findings, and speculation in a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1080"/>
        <w:rPr>
          <w:rFonts w:ascii="Cambria" w:cs="Cambria" w:eastAsia="Cambria" w:hAnsi="Cambri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WHST.6-8.2.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Write informative/explanatory texts, including the narration of historical events, scientific procedures/ experiments, or technical processes. </w:t>
      </w:r>
    </w:p>
    <w:p w:rsidR="00000000" w:rsidDel="00000000" w:rsidP="00000000" w:rsidRDefault="00000000" w:rsidRPr="00000000" w14:paraId="0000001C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WHST.6-8.2.D.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Use precise language and domain-specific vocabulary to inform about or explain the topic. </w:t>
      </w:r>
    </w:p>
    <w:p w:rsidR="00000000" w:rsidDel="00000000" w:rsidP="00000000" w:rsidRDefault="00000000" w:rsidRPr="00000000" w14:paraId="0000001D">
      <w:pPr>
        <w:ind w:left="117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WHST.6-8.8.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Gather relevant information from multiple print and digital sources, using search terms effectively; assess the credibility and accuracy of each source; and quote or paraphrase the data and conclusions of others while avoiding plagiarism and following a standard format for citation.</w:t>
      </w:r>
    </w:p>
    <w:p w:rsidR="00000000" w:rsidDel="00000000" w:rsidP="00000000" w:rsidRDefault="00000000" w:rsidRPr="00000000" w14:paraId="0000001E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21st Century Life and Careers</w:t>
      </w:r>
    </w:p>
    <w:p w:rsidR="00000000" w:rsidDel="00000000" w:rsidP="00000000" w:rsidRDefault="00000000" w:rsidRPr="00000000" w14:paraId="00000020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Apply appropriate academic and technical skills.</w:t>
      </w:r>
    </w:p>
    <w:p w:rsidR="00000000" w:rsidDel="00000000" w:rsidP="00000000" w:rsidRDefault="00000000" w:rsidRPr="00000000" w14:paraId="00000021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Communicate clearly and effectively and with reason.</w:t>
      </w:r>
    </w:p>
    <w:p w:rsidR="00000000" w:rsidDel="00000000" w:rsidP="00000000" w:rsidRDefault="00000000" w:rsidRPr="00000000" w14:paraId="00000022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CRP6. </w:t>
        <w:tab/>
        <w:t xml:space="preserve">  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Demonstrate creativity and innovation.</w:t>
      </w:r>
    </w:p>
    <w:p w:rsidR="00000000" w:rsidDel="00000000" w:rsidP="00000000" w:rsidRDefault="00000000" w:rsidRPr="00000000" w14:paraId="00000023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CRP7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 </w:t>
        <w:tab/>
        <w:t xml:space="preserve">  Employ valid and reliable research strategies.</w:t>
      </w:r>
    </w:p>
    <w:p w:rsidR="00000000" w:rsidDel="00000000" w:rsidP="00000000" w:rsidRDefault="00000000" w:rsidRPr="00000000" w14:paraId="00000024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CRP11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.</w:t>
        <w:tab/>
        <w:t xml:space="preserve">  Use technology to enhance productivity.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9.3.ST.2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ab/>
        <w:t xml:space="preserve">  Use technology to acquire, manipulate, analyze and report data.</w:t>
      </w:r>
    </w:p>
    <w:p w:rsidR="00000000" w:rsidDel="00000000" w:rsidP="00000000" w:rsidRDefault="00000000" w:rsidRPr="00000000" w14:paraId="00000026">
      <w:pPr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9.2.8.B.4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Evaluate how traditional and nontraditional careers have evolved regionally, nationally, and globally.</w:t>
      </w:r>
    </w:p>
    <w:p w:rsidR="00000000" w:rsidDel="00000000" w:rsidP="00000000" w:rsidRDefault="00000000" w:rsidRPr="00000000" w14:paraId="00000027">
      <w:pPr>
        <w:rPr>
          <w:rFonts w:ascii="Cambria" w:cs="Cambria" w:eastAsia="Cambria" w:hAnsi="Cambria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Cambria" w:cs="Cambria" w:eastAsia="Cambria" w:hAnsi="Cambria"/>
          <w:b w:val="1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sz w:val="28"/>
          <w:szCs w:val="28"/>
          <w:rtl w:val="0"/>
        </w:rPr>
        <w:t xml:space="preserve">Technology</w:t>
      </w:r>
    </w:p>
    <w:p w:rsidR="00000000" w:rsidDel="00000000" w:rsidP="00000000" w:rsidRDefault="00000000" w:rsidRPr="00000000" w14:paraId="00000029">
      <w:pPr>
        <w:ind w:left="81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8.1.8.D.1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Understand and model appropriate online behaviors related to cyber safety, cyber bullying, cyber security, and cyber ethics including appropriate use of social media. </w:t>
      </w:r>
    </w:p>
    <w:p w:rsidR="00000000" w:rsidDel="00000000" w:rsidP="00000000" w:rsidRDefault="00000000" w:rsidRPr="00000000" w14:paraId="0000002A">
      <w:pPr>
        <w:ind w:left="810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8.2.8.E.1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Identify ways computers are used that have had an impact across the range of human activity and within different careers where they are used.</w:t>
      </w:r>
    </w:p>
    <w:p w:rsidR="00000000" w:rsidDel="00000000" w:rsidP="00000000" w:rsidRDefault="00000000" w:rsidRPr="00000000" w14:paraId="0000002B">
      <w:pPr>
        <w:ind w:left="810"/>
        <w:rPr>
          <w:b w:val="1"/>
          <w:sz w:val="20"/>
          <w:szCs w:val="20"/>
        </w:rPr>
      </w:pPr>
      <w:r w:rsidDel="00000000" w:rsidR="00000000" w:rsidRPr="00000000">
        <w:rPr>
          <w:rFonts w:ascii="Cambria" w:cs="Cambria" w:eastAsia="Cambria" w:hAnsi="Cambria"/>
          <w:b w:val="1"/>
          <w:sz w:val="20"/>
          <w:szCs w:val="20"/>
          <w:rtl w:val="0"/>
        </w:rPr>
        <w:t xml:space="preserve">8.1.8.D.4</w:t>
      </w:r>
      <w:r w:rsidDel="00000000" w:rsidR="00000000" w:rsidRPr="00000000">
        <w:rPr>
          <w:rFonts w:ascii="Cambria" w:cs="Cambria" w:eastAsia="Cambria" w:hAnsi="Cambria"/>
          <w:sz w:val="20"/>
          <w:szCs w:val="20"/>
          <w:rtl w:val="0"/>
        </w:rPr>
        <w:t xml:space="preserve"> Assess the credibility and accuracy of digital content.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mbria" w:cs="Cambria" w:eastAsia="Cambria" w:hAnsi="Cambria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65"/>
        <w:gridCol w:w="5700"/>
        <w:gridCol w:w="4335"/>
        <w:tblGridChange w:id="0">
          <w:tblGrid>
            <w:gridCol w:w="4365"/>
            <w:gridCol w:w="5700"/>
            <w:gridCol w:w="4335"/>
          </w:tblGrid>
        </w:tblGridChange>
      </w:tblGrid>
      <w:tr>
        <w:trPr>
          <w:trHeight w:val="42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c9daf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GENERAL CONSIDERATIONS FOR DIVERSE LEARNERS</w:t>
            </w:r>
          </w:p>
        </w:tc>
      </w:tr>
      <w:t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English Language Learners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Receiving Special Education Services</w:t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Advanced Learners</w:t>
            </w:r>
          </w:p>
        </w:tc>
      </w:tr>
      <w:tr>
        <w:trPr>
          <w:trHeight w:val="1760" w:hRule="atLeast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Can Do Descriptors for Grades 6-8</w:t>
              </w:r>
            </w:hyperlink>
            <w:r w:rsidDel="00000000" w:rsidR="00000000" w:rsidRPr="00000000">
              <w:rPr>
                <w:rtl w:val="0"/>
              </w:rPr>
              <w:t xml:space="preserve">*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WIDA Essential Actions Handbook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FABRIC Paradigm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4"/>
              </w:numPr>
              <w:spacing w:line="240" w:lineRule="auto"/>
              <w:ind w:left="360"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Wall Township ESL Grading Protocol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*Use WIDA Can Do Descriptors in coordination with 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Student Language Portraits (SLPs)</w:t>
              </w:r>
            </w:hyperlink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ELLs</w:t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Personal glossary</w:t>
            </w:r>
          </w:p>
          <w:p w:rsidR="00000000" w:rsidDel="00000000" w:rsidP="00000000" w:rsidRDefault="00000000" w:rsidRPr="00000000" w14:paraId="0000003E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Text-to-speech </w:t>
            </w:r>
          </w:p>
          <w:p w:rsidR="00000000" w:rsidDel="00000000" w:rsidP="00000000" w:rsidRDefault="00000000" w:rsidRPr="00000000" w14:paraId="0000003F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Extended time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Simplified / verbal instructions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Frequent breaks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Small group/One to one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Additional time</w:t>
            </w:r>
          </w:p>
          <w:p w:rsidR="00000000" w:rsidDel="00000000" w:rsidP="00000000" w:rsidRDefault="00000000" w:rsidRPr="00000000" w14:paraId="00000044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Review of directions</w:t>
            </w:r>
          </w:p>
          <w:p w:rsidR="00000000" w:rsidDel="00000000" w:rsidP="00000000" w:rsidRDefault="00000000" w:rsidRPr="00000000" w14:paraId="00000045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Student restates information</w:t>
            </w:r>
          </w:p>
          <w:p w:rsidR="00000000" w:rsidDel="00000000" w:rsidP="00000000" w:rsidRDefault="00000000" w:rsidRPr="00000000" w14:paraId="00000046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Extra visual and verbal cues and prompts</w:t>
            </w:r>
          </w:p>
          <w:p w:rsidR="00000000" w:rsidDel="00000000" w:rsidP="00000000" w:rsidRDefault="00000000" w:rsidRPr="00000000" w14:paraId="00000047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Preferential seating</w:t>
            </w:r>
          </w:p>
          <w:p w:rsidR="00000000" w:rsidDel="00000000" w:rsidP="00000000" w:rsidRDefault="00000000" w:rsidRPr="00000000" w14:paraId="00000048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Verbal and visual cues regarding directions and staying on task</w:t>
            </w:r>
          </w:p>
          <w:p w:rsidR="00000000" w:rsidDel="00000000" w:rsidP="00000000" w:rsidRDefault="00000000" w:rsidRPr="00000000" w14:paraId="00000049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Checklists</w:t>
            </w:r>
          </w:p>
          <w:p w:rsidR="00000000" w:rsidDel="00000000" w:rsidP="00000000" w:rsidRDefault="00000000" w:rsidRPr="00000000" w14:paraId="0000004A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Immediate feedback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New Jersey Tiered System of Supports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National Center on Universal Design for Learning - About UDL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Checklist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numPr>
                <w:ilvl w:val="0"/>
                <w:numId w:val="1"/>
              </w:numPr>
              <w:spacing w:line="240" w:lineRule="auto"/>
              <w:ind w:left="360"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UDL Key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Response to Intervention:</w:t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Reteach to Build Understanding, Additional Vocabulary Support, Build Mathematical Literacy</w:t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Students within this class receiving Special Education/Section 504 programming have specific goals and objectives, as well as accommodations and modifications outlined within their Individualized Education Plans (IEP)/504 Plans due to an identified disability and/or diagnosis. In addition to exposure to the general education curriculum, instruction is differentiated based upon the student's needs. The IEP/504 Plan acts as a supplemental curriculum guide inclusive of instructional strategies that support each specific learner.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Special Education</w:t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Presentatio</w:t>
            </w:r>
            <w:r w:rsidDel="00000000" w:rsidR="00000000" w:rsidRPr="00000000">
              <w:rPr>
                <w:b w:val="1"/>
                <w:rtl w:val="0"/>
              </w:rPr>
              <w:t xml:space="preserve">n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8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Listen to audio recordings instead of reading text </w:t>
            </w:r>
          </w:p>
          <w:p w:rsidR="00000000" w:rsidDel="00000000" w:rsidP="00000000" w:rsidRDefault="00000000" w:rsidRPr="00000000" w14:paraId="00000059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Pre-teach unknown vocabulary through pictures or videos, and relate to prior knowledge</w:t>
            </w:r>
          </w:p>
          <w:p w:rsidR="00000000" w:rsidDel="00000000" w:rsidP="00000000" w:rsidRDefault="00000000" w:rsidRPr="00000000" w14:paraId="0000005A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with fewer items per page and/or materials in a larger print size</w:t>
            </w:r>
          </w:p>
          <w:p w:rsidR="00000000" w:rsidDel="00000000" w:rsidP="00000000" w:rsidRDefault="00000000" w:rsidRPr="00000000" w14:paraId="0000005B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visual blocker</w:t>
            </w:r>
          </w:p>
          <w:p w:rsidR="00000000" w:rsidDel="00000000" w:rsidP="00000000" w:rsidRDefault="00000000" w:rsidRPr="00000000" w14:paraId="0000005C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visual presentations of verbal material, such as word webs and visual organizers</w:t>
            </w:r>
          </w:p>
          <w:p w:rsidR="00000000" w:rsidDel="00000000" w:rsidP="00000000" w:rsidRDefault="00000000" w:rsidRPr="00000000" w14:paraId="0000005D">
            <w:pPr>
              <w:widowControl w:val="0"/>
              <w:numPr>
                <w:ilvl w:val="0"/>
                <w:numId w:val="6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Be given a written list of instructions/picture cues</w:t>
            </w:r>
          </w:p>
          <w:p w:rsidR="00000000" w:rsidDel="00000000" w:rsidP="00000000" w:rsidRDefault="00000000" w:rsidRPr="00000000" w14:paraId="0000005E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Response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Give responses in a form (oral or written) that’s easier for him/her</w:t>
            </w:r>
          </w:p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Dictate answers to a scribe</w:t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Capture responses on an audio recorder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spelling dictionary or electronic spell-checker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word processor to give responses in class</w:t>
            </w:r>
          </w:p>
          <w:p w:rsidR="00000000" w:rsidDel="00000000" w:rsidP="00000000" w:rsidRDefault="00000000" w:rsidRPr="00000000" w14:paraId="00000064">
            <w:pPr>
              <w:widowControl w:val="0"/>
              <w:numPr>
                <w:ilvl w:val="0"/>
                <w:numId w:val="7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Use a calculator or table of “math facts”</w:t>
            </w:r>
          </w:p>
          <w:p w:rsidR="00000000" w:rsidDel="00000000" w:rsidP="00000000" w:rsidRDefault="00000000" w:rsidRPr="00000000" w14:paraId="00000065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Setting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6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Work or take a test in a different setting, such as a quiet room with few distractions</w:t>
            </w:r>
          </w:p>
          <w:p w:rsidR="00000000" w:rsidDel="00000000" w:rsidP="00000000" w:rsidRDefault="00000000" w:rsidRPr="00000000" w14:paraId="00000067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Sit where he/she learns best (for example, near the teacher)</w:t>
            </w:r>
          </w:p>
          <w:p w:rsidR="00000000" w:rsidDel="00000000" w:rsidP="00000000" w:rsidRDefault="00000000" w:rsidRPr="00000000" w14:paraId="00000068">
            <w:pPr>
              <w:widowControl w:val="0"/>
              <w:numPr>
                <w:ilvl w:val="0"/>
                <w:numId w:val="8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a test in small group setting</w:t>
            </w:r>
          </w:p>
          <w:p w:rsidR="00000000" w:rsidDel="00000000" w:rsidP="00000000" w:rsidRDefault="00000000" w:rsidRPr="00000000" w14:paraId="00000069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Timing accommodations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more time to complete a task or a test</w:t>
            </w:r>
          </w:p>
          <w:p w:rsidR="00000000" w:rsidDel="00000000" w:rsidP="00000000" w:rsidRDefault="00000000" w:rsidRPr="00000000" w14:paraId="0000006B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Have extra time to process oral information and directions</w:t>
            </w:r>
          </w:p>
          <w:p w:rsidR="00000000" w:rsidDel="00000000" w:rsidP="00000000" w:rsidRDefault="00000000" w:rsidRPr="00000000" w14:paraId="0000006C">
            <w:pPr>
              <w:widowControl w:val="0"/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sz w:val="22"/>
                <w:szCs w:val="22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Take frequent breaks, such as after completing a task</w:t>
            </w:r>
          </w:p>
          <w:p w:rsidR="00000000" w:rsidDel="00000000" w:rsidP="00000000" w:rsidRDefault="00000000" w:rsidRPr="00000000" w14:paraId="0000006D">
            <w:pPr>
              <w:widowControl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240" w:lineRule="auto"/>
              <w:rPr>
                <w:color w:val="333333"/>
              </w:rPr>
            </w:pPr>
            <w:r w:rsidDel="00000000" w:rsidR="00000000" w:rsidRPr="00000000">
              <w:rPr>
                <w:b w:val="1"/>
                <w:color w:val="333333"/>
                <w:rtl w:val="0"/>
              </w:rPr>
              <w:t xml:space="preserve">Assignmen</w:t>
            </w:r>
            <w:r w:rsidDel="00000000" w:rsidR="00000000" w:rsidRPr="00000000">
              <w:rPr>
                <w:b w:val="1"/>
                <w:rtl w:val="0"/>
              </w:rPr>
              <w:t xml:space="preserve">t modifications</w:t>
            </w:r>
            <w:r w:rsidDel="00000000" w:rsidR="00000000" w:rsidRPr="00000000">
              <w:rPr>
                <w:color w:val="33333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E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Complete fewer or different homework problems than peers</w:t>
            </w:r>
          </w:p>
          <w:p w:rsidR="00000000" w:rsidDel="00000000" w:rsidP="00000000" w:rsidRDefault="00000000" w:rsidRPr="00000000" w14:paraId="0000006F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Shorten assignment</w:t>
            </w:r>
          </w:p>
          <w:p w:rsidR="00000000" w:rsidDel="00000000" w:rsidP="00000000" w:rsidRDefault="00000000" w:rsidRPr="00000000" w14:paraId="00000070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Answer fewer or different test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numPr>
                <w:ilvl w:val="0"/>
                <w:numId w:val="5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450" w:hanging="360"/>
              <w:rPr>
                <w:color w:val="333333"/>
              </w:rPr>
            </w:pPr>
            <w:r w:rsidDel="00000000" w:rsidR="00000000" w:rsidRPr="00000000">
              <w:rPr>
                <w:color w:val="333333"/>
                <w:rtl w:val="0"/>
              </w:rPr>
              <w:t xml:space="preserve">Create alternate projects or assignments</w:t>
            </w:r>
          </w:p>
          <w:p w:rsidR="00000000" w:rsidDel="00000000" w:rsidP="00000000" w:rsidRDefault="00000000" w:rsidRPr="00000000" w14:paraId="00000072">
            <w:pPr>
              <w:widowControl w:val="0"/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line="240" w:lineRule="auto"/>
              <w:ind w:left="720" w:firstLine="0"/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Knowledge and Skill Standards in Gifted Education for All Teachers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Pre-K-Grade 12 Gifted Programming Standards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numPr>
                <w:ilvl w:val="0"/>
                <w:numId w:val="5"/>
              </w:numPr>
              <w:spacing w:line="240" w:lineRule="auto"/>
              <w:ind w:left="360"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Gifted Programming Glossary of Terms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Potential Accommodations for Advanced Learners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Use of high level academic vocabulary/texts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Problem-based learning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Pre-assess to condense curriculum</w:t>
            </w:r>
          </w:p>
          <w:p w:rsidR="00000000" w:rsidDel="00000000" w:rsidP="00000000" w:rsidRDefault="00000000" w:rsidRPr="00000000" w14:paraId="0000007C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Interest-based research</w:t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Authentic problem-solving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3"/>
              </w:numPr>
              <w:spacing w:line="240" w:lineRule="auto"/>
              <w:ind w:left="360"/>
            </w:pPr>
            <w:r w:rsidDel="00000000" w:rsidR="00000000" w:rsidRPr="00000000">
              <w:rPr>
                <w:rtl w:val="0"/>
              </w:rPr>
              <w:t xml:space="preserve">Homogeneous grouping opportunities</w:t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Students with 504 Plans</w:t>
            </w:r>
          </w:p>
        </w:tc>
      </w:tr>
      <w:tr>
        <w:trPr>
          <w:trHeight w:val="400" w:hRule="atLeast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Teachers are responsible for implementing designated services and strategies identified on a student’s 504 Plan.</w:t>
            </w:r>
          </w:p>
        </w:tc>
      </w:tr>
      <w:tr>
        <w:trPr>
          <w:trHeight w:val="440" w:hRule="atLeast"/>
        </w:trPr>
        <w:tc>
          <w:tcPr>
            <w:gridSpan w:val="3"/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At Risk Learners / Differentiation Strategies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760" w:hRule="atLeast"/>
        </w:trPr>
        <w:tc>
          <w:tcPr>
            <w:tcBorders>
              <w:top w:color="000000" w:space="0" w:sz="18" w:val="single"/>
              <w:left w:color="000000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Alternative Assessments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Boards</w:t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Games and Tournaments</w:t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Group Investigations</w:t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Guided Reading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Learning Contracts</w:t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Leveled Rubrics</w:t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Literature Circles</w:t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Texts</w:t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Personal Agendas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ffffff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Independent Research &amp; Projects</w:t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Multiple Intelligence Options</w:t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Project-Based Learning</w:t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Supplemental Activities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Journal Prompts or RAFT Writing</w:t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Activities/Assignments</w:t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Tiered Products</w:t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Graphic Organizers</w:t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Choice of Books/Activities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Mini-Workshops to Reteach or Extend</w:t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Think-Pair-Share by readiness or interest</w:t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Use of Collaboration of Various Activities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ffffff" w:space="0" w:sz="18" w:val="single"/>
              <w:bottom w:color="000000" w:space="0" w:sz="18" w:val="single"/>
              <w:right w:color="000000" w:space="0" w:sz="1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b w:val="1"/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Jigsaw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Think-Tac-Toe</w:t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Cubing Activities</w:t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Exploration by Interest</w:t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Flexible Grouping</w:t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Goal-Setting with Students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Homework Options</w:t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Open-Ended Activities</w:t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Use of Reading Buddies</w:t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Varied Product Choices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highlight w:val="white"/>
              </w:rPr>
            </w:pPr>
            <w:r w:rsidDel="00000000" w:rsidR="00000000" w:rsidRPr="00000000">
              <w:rPr>
                <w:highlight w:val="white"/>
                <w:rtl w:val="0"/>
              </w:rPr>
              <w:t xml:space="preserve">Stations/Centers</w:t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highlight w:val="white"/>
                <w:rtl w:val="0"/>
              </w:rPr>
              <w:t xml:space="preserve">Work Alone/Together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B">
      <w:pPr>
        <w:spacing w:line="276" w:lineRule="auto"/>
        <w:rPr>
          <w:rFonts w:ascii="Cambria" w:cs="Cambria" w:eastAsia="Cambria" w:hAnsi="Cambri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135.0" w:type="dxa"/>
        <w:jc w:val="left"/>
        <w:tblInd w:w="180.0" w:type="pct"/>
        <w:tblLayout w:type="fixed"/>
        <w:tblLook w:val="0600"/>
      </w:tblPr>
      <w:tblGrid>
        <w:gridCol w:w="9135"/>
        <w:tblGridChange w:id="0">
          <w:tblGrid>
            <w:gridCol w:w="9135"/>
          </w:tblGrid>
        </w:tblGridChange>
      </w:tblGrid>
      <w:tr>
        <w:trPr>
          <w:trHeight w:val="740" w:hRule="atLeast"/>
        </w:trPr>
        <w:tc>
          <w:tcPr>
            <w:tcMar>
              <w:top w:w="100.0" w:type="dxa"/>
              <w:left w:w="180.0" w:type="dxa"/>
              <w:bottom w:w="100.0" w:type="dxa"/>
              <w:right w:w="18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footerReference r:id="rId18" w:type="default"/>
      <w:pgSz w:h="12240" w:w="15840"/>
      <w:pgMar w:bottom="1008" w:top="1008" w:left="1008" w:right="100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E">
    <w:pPr>
      <w:ind w:left="0" w:firstLine="0"/>
      <w:rPr/>
    </w:pPr>
    <w:r w:rsidDel="00000000" w:rsidR="00000000" w:rsidRPr="00000000">
      <w:rPr>
        <w:rFonts w:ascii="Cambria" w:cs="Cambria" w:eastAsia="Cambria" w:hAnsi="Cambria"/>
        <w:i w:val="1"/>
        <w:rtl w:val="0"/>
      </w:rPr>
      <w:t xml:space="preserve">*See individual units for Pacing Guide, NJSLS Standards, Transfer Skills, Enduring Understandings, Essential Questions, Learning Objectives, Key Vocabulary, Skills,  Resources, &amp; Assessments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3"/>
        <w:szCs w:val="23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www.nj.gov/education/njtss/" TargetMode="External"/><Relationship Id="rId10" Type="http://schemas.openxmlformats.org/officeDocument/2006/relationships/hyperlink" Target="https://docs.google.com/document/d/1qs-mZZZ9bBPRNsJcSvmMYB1REHPENPy_XQQwGWo7Nhw/edit?usp=sharing" TargetMode="External"/><Relationship Id="rId13" Type="http://schemas.openxmlformats.org/officeDocument/2006/relationships/hyperlink" Target="https://drive.google.com/open?id=12ND_gk5do8Cm5udNNsWpC6sHPKlaruqh" TargetMode="External"/><Relationship Id="rId12" Type="http://schemas.openxmlformats.org/officeDocument/2006/relationships/hyperlink" Target="http://www.udlcenter.org/aboutudl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rive.google.com/file/d/1P7F_7Iq9knrCdTXo77tEpoGfVOtH-mPW/view?usp=sharing" TargetMode="External"/><Relationship Id="rId15" Type="http://schemas.openxmlformats.org/officeDocument/2006/relationships/hyperlink" Target="http://www.nagc.org/resources-publications/resources/national-standards-gifted-and-talented-education/knowledge-and" TargetMode="External"/><Relationship Id="rId14" Type="http://schemas.openxmlformats.org/officeDocument/2006/relationships/hyperlink" Target="https://drive.google.com/open?id=1GpRJu1U4CGCoBIjF2XlVjlmVnqWYU3P1" TargetMode="External"/><Relationship Id="rId17" Type="http://schemas.openxmlformats.org/officeDocument/2006/relationships/hyperlink" Target="https://drive.google.com/file/d/13bnynRPFgKtxapLCyu8f7y_hIIf9HQvU/view?usp=sharing" TargetMode="External"/><Relationship Id="rId16" Type="http://schemas.openxmlformats.org/officeDocument/2006/relationships/hyperlink" Target="https://drive.google.com/file/d/1kyzci6RjKrwn7Yo-g2su1DS0l8-rOeK4/view?usp=sharing" TargetMode="External"/><Relationship Id="rId5" Type="http://schemas.openxmlformats.org/officeDocument/2006/relationships/styles" Target="styles.xml"/><Relationship Id="rId6" Type="http://schemas.openxmlformats.org/officeDocument/2006/relationships/hyperlink" Target="https://drive.google.com/open?id=0B-j1SG5dErXzODlwUW5wSE82MlE" TargetMode="External"/><Relationship Id="rId18" Type="http://schemas.openxmlformats.org/officeDocument/2006/relationships/footer" Target="footer1.xml"/><Relationship Id="rId7" Type="http://schemas.openxmlformats.org/officeDocument/2006/relationships/hyperlink" Target="https://drive.google.com/file/d/1MOkRH7aeYmJ3FwxKsT9bcQJXGfTWkidY/view?usp=sharing" TargetMode="External"/><Relationship Id="rId8" Type="http://schemas.openxmlformats.org/officeDocument/2006/relationships/hyperlink" Target="https://drive.google.com/file/d/1R7mxpIl_nttbJf6leydxHWloMs2ykocb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