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Latin B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  <w:t xml:space="preserve">Gladiators (12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  <w:t xml:space="preserve">Civics (Education and Government) (8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Mount Vesuvius (8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Mythology and Metamorphoses (12 Weeks)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0E">
      <w:pPr>
        <w:ind w:left="108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Conduct short as well as more sustained research projects, utilizing an inquiry-based research process, based on focused questions, demonstrating understanding of the subject under investigation.</w:t>
      </w:r>
    </w:p>
    <w:p w:rsidR="00000000" w:rsidDel="00000000" w:rsidP="00000000" w:rsidRDefault="00000000" w:rsidRPr="00000000" w14:paraId="0000000F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Gather relevant information from multiple print and digital sources, assess the credibility and accuracy of each source, and integrate the information while avoiding plagiarism.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9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Read closely to determine what the text says explicitly and to make logical inferences and relevant connections from it; cite specific textual evidence when writing or speaking to support conclusions drawn from the text.</w:t>
      </w:r>
    </w:p>
    <w:p w:rsidR="00000000" w:rsidDel="00000000" w:rsidP="00000000" w:rsidRDefault="00000000" w:rsidRPr="00000000" w14:paraId="00000012">
      <w:pPr>
        <w:ind w:left="99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NJSLSA.R2.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Determine central ideas or themes of a text and analyze their development; summarize the key supporting details and ideas.</w:t>
      </w:r>
    </w:p>
    <w:p w:rsidR="00000000" w:rsidDel="00000000" w:rsidP="00000000" w:rsidRDefault="00000000" w:rsidRPr="00000000" w14:paraId="00000013">
      <w:pPr>
        <w:ind w:left="99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NJSLSA.R4.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Interpret words and phrases as they are used in a text, including determining technical, connotative, and figurative meanings, and analyze how specific word choices shape meaning or tone.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08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RH.6-8.7.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Integrate visual information (e.g., in charts, graphs, photographs, videos, or maps) with other information in print and digital texts.</w:t>
      </w:r>
    </w:p>
    <w:p w:rsidR="00000000" w:rsidDel="00000000" w:rsidP="00000000" w:rsidRDefault="00000000" w:rsidRPr="00000000" w14:paraId="00000016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RH.6-8.8.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Distinguish among fact, opinion, and reasoned judgment in a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90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RST.6-8.7.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9">
      <w:pPr>
        <w:ind w:left="90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RST.6-8.8.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Distinguish among facts, reasoned judgment based on research findings, and speculation in a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WHST.6-8.2.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Write informative/explanatory texts, including the narration of historical events, scientific procedures/ experiments, or technical processes. </w:t>
      </w:r>
    </w:p>
    <w:p w:rsidR="00000000" w:rsidDel="00000000" w:rsidP="00000000" w:rsidRDefault="00000000" w:rsidRPr="00000000" w14:paraId="0000001C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WHST.6-8.2.D.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Use precise language and domain-specific vocabulary to inform about or explain the topic. </w:t>
      </w:r>
    </w:p>
    <w:p w:rsidR="00000000" w:rsidDel="00000000" w:rsidP="00000000" w:rsidRDefault="00000000" w:rsidRPr="00000000" w14:paraId="0000001D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citation.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Apply appropriate academic and technical skills.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Communicate clearly and effectively and with reason.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CRP6. </w:t>
        <w:tab/>
        <w:t xml:space="preserve">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Demonstrate creativity and innovation.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CRP7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Employ valid and reliable research strategies.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  <w:tab/>
        <w:t xml:space="preserve">  Use technology to enhance productivity.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ab/>
        <w:t xml:space="preserve">  Use technology to acquire, manipulate, analyze and report data.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9.2.8.B.4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Evaluate how traditional and nontraditional careers have evolved regionally, nationally, and globally.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29">
      <w:pPr>
        <w:ind w:left="81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8.1.8.D.1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Understand and model appropriate online behaviors related to cyber safety, cyber bullying, cyber security, and cyber ethics including appropriate use of social media. </w:t>
      </w:r>
    </w:p>
    <w:p w:rsidR="00000000" w:rsidDel="00000000" w:rsidP="00000000" w:rsidRDefault="00000000" w:rsidRPr="00000000" w14:paraId="0000002A">
      <w:pPr>
        <w:ind w:left="81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8.2.8.E.1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Identify ways computers are used that have had an impact across the range of human activity and within different careers where they are used.</w:t>
      </w:r>
    </w:p>
    <w:p w:rsidR="00000000" w:rsidDel="00000000" w:rsidP="00000000" w:rsidRDefault="00000000" w:rsidRPr="00000000" w14:paraId="0000002B">
      <w:pPr>
        <w:ind w:left="810"/>
        <w:rPr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8.1.8.D.4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Assess the credibility and accuracy of digital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18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j.gov/education/njtss/" TargetMode="External"/><Relationship Id="rId10" Type="http://schemas.openxmlformats.org/officeDocument/2006/relationships/hyperlink" Target="https://docs.google.com/document/d/1qs-mZZZ9bBPRNsJcSvmMYB1REHPENPy_XQQwGWo7Nhw/edit?usp=sharing" TargetMode="External"/><Relationship Id="rId13" Type="http://schemas.openxmlformats.org/officeDocument/2006/relationships/hyperlink" Target="https://drive.google.com/open?id=12ND_gk5do8Cm5udNNsWpC6sHPKlaruqh" TargetMode="External"/><Relationship Id="rId12" Type="http://schemas.openxmlformats.org/officeDocument/2006/relationships/hyperlink" Target="http://www.udlcenter.org/aboutud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7F_7Iq9knrCdTXo77tEpoGfVOtH-mPW/view?usp=sharing" TargetMode="External"/><Relationship Id="rId15" Type="http://schemas.openxmlformats.org/officeDocument/2006/relationships/hyperlink" Target="http://www.nagc.org/resources-publications/resources/national-standards-gifted-and-talented-education/knowledge-and" TargetMode="External"/><Relationship Id="rId14" Type="http://schemas.openxmlformats.org/officeDocument/2006/relationships/hyperlink" Target="https://drive.google.com/open?id=1GpRJu1U4CGCoBIjF2XlVjlmVnqWYU3P1" TargetMode="External"/><Relationship Id="rId17" Type="http://schemas.openxmlformats.org/officeDocument/2006/relationships/hyperlink" Target="https://drive.google.com/file/d/13bnynRPFgKtxapLCyu8f7y_hIIf9HQvU/view?usp=sharing" TargetMode="External"/><Relationship Id="rId16" Type="http://schemas.openxmlformats.org/officeDocument/2006/relationships/hyperlink" Target="https://drive.google.com/file/d/1kyzci6RjKrwn7Yo-g2su1DS0l8-rOeK4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0B-j1SG5dErXzODlwUW5wSE82MlE" TargetMode="External"/><Relationship Id="rId18" Type="http://schemas.openxmlformats.org/officeDocument/2006/relationships/footer" Target="footer1.xml"/><Relationship Id="rId7" Type="http://schemas.openxmlformats.org/officeDocument/2006/relationships/hyperlink" Target="https://drive.google.com/file/d/1MOkRH7aeYmJ3FwxKsT9bcQJXGfTWkidY/view?usp=sharing" TargetMode="External"/><Relationship Id="rId8" Type="http://schemas.openxmlformats.org/officeDocument/2006/relationships/hyperlink" Target="https://drive.google.com/file/d/1R7mxpIl_nttbJf6leydxHWloMs2ykoc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