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DD7F62" w:rsidP="00387B51">
      <w:pPr>
        <w:jc w:val="center"/>
        <w:rPr>
          <w:rFonts w:ascii="Calibri" w:hAnsi="Calibri"/>
          <w:b/>
          <w:sz w:val="40"/>
          <w:szCs w:val="40"/>
        </w:rPr>
      </w:pPr>
      <w:r>
        <w:rPr>
          <w:rFonts w:ascii="Calibri" w:hAnsi="Calibri"/>
          <w:b/>
          <w:sz w:val="40"/>
          <w:szCs w:val="40"/>
        </w:rPr>
        <w:t>Personal Finance</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51"/>
        <w:gridCol w:w="1628"/>
        <w:gridCol w:w="4621"/>
      </w:tblGrid>
      <w:tr w:rsidR="00C17630" w:rsidRPr="00927497" w:rsidTr="00285B27">
        <w:trPr>
          <w:jc w:val="center"/>
        </w:trPr>
        <w:tc>
          <w:tcPr>
            <w:tcW w:w="6071" w:type="dxa"/>
            <w:tcBorders>
              <w:bottom w:val="single" w:sz="4" w:space="0" w:color="auto"/>
            </w:tcBorders>
            <w:shd w:val="clear" w:color="auto" w:fill="auto"/>
          </w:tcPr>
          <w:p w:rsidR="00387B51" w:rsidRPr="00927497" w:rsidRDefault="00DD7F62" w:rsidP="00DD7F62">
            <w:pPr>
              <w:jc w:val="center"/>
              <w:rPr>
                <w:rFonts w:ascii="Calibri" w:hAnsi="Calibri"/>
                <w:b/>
                <w:sz w:val="24"/>
                <w:szCs w:val="24"/>
              </w:rPr>
            </w:pPr>
            <w:r>
              <w:rPr>
                <w:rFonts w:ascii="Calibri" w:hAnsi="Calibri"/>
                <w:b/>
                <w:sz w:val="24"/>
                <w:szCs w:val="24"/>
              </w:rPr>
              <w:t>February 22, 2016</w:t>
            </w:r>
            <w:r w:rsidR="008B12B3" w:rsidRPr="00927497">
              <w:rPr>
                <w:rFonts w:ascii="Calibri" w:hAnsi="Calibri"/>
                <w:b/>
                <w:sz w:val="24"/>
                <w:szCs w:val="24"/>
              </w:rPr>
              <w:tab/>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E66609">
              <w:rPr>
                <w:rFonts w:ascii="Calibri" w:hAnsi="Calibri"/>
                <w:b/>
                <w:sz w:val="24"/>
                <w:szCs w:val="24"/>
              </w:rPr>
              <w:t xml:space="preserve"> 9</w:t>
            </w:r>
            <w:bookmarkStart w:id="0" w:name="_GoBack"/>
            <w:bookmarkEnd w:id="0"/>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DD7F62" w:rsidRPr="00DD7F62" w:rsidRDefault="00DD7F62" w:rsidP="00DD7F62">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DD7F62" w:rsidRPr="00DD7F62" w:rsidRDefault="00D74BB9" w:rsidP="00D74BB9">
      <w:pPr>
        <w:jc w:val="center"/>
        <w:rPr>
          <w:rFonts w:eastAsia="Calibri" w:cs="Times New Roman"/>
          <w:sz w:val="24"/>
          <w:szCs w:val="24"/>
        </w:rPr>
      </w:pPr>
      <w:r>
        <w:rPr>
          <w:rFonts w:eastAsia="Calibri" w:cs="Times New Roman"/>
          <w:sz w:val="24"/>
          <w:szCs w:val="24"/>
        </w:rPr>
        <w:t>C</w:t>
      </w:r>
      <w:r w:rsidR="00DD7F62">
        <w:rPr>
          <w:rFonts w:eastAsia="Calibri" w:cs="Times New Roman"/>
          <w:sz w:val="24"/>
          <w:szCs w:val="24"/>
        </w:rPr>
        <w:t>reat</w:t>
      </w:r>
      <w:r>
        <w:rPr>
          <w:rFonts w:eastAsia="Calibri" w:cs="Times New Roman"/>
          <w:sz w:val="24"/>
          <w:szCs w:val="24"/>
        </w:rPr>
        <w:t xml:space="preserve">e future business </w:t>
      </w:r>
      <w:r w:rsidR="00DD7F62">
        <w:rPr>
          <w:rFonts w:eastAsia="Calibri" w:cs="Times New Roman"/>
          <w:sz w:val="24"/>
          <w:szCs w:val="24"/>
        </w:rPr>
        <w:t xml:space="preserve">leaders </w:t>
      </w:r>
      <w:r>
        <w:rPr>
          <w:rFonts w:eastAsia="Calibri" w:cs="Times New Roman"/>
          <w:sz w:val="24"/>
          <w:szCs w:val="24"/>
        </w:rPr>
        <w:t xml:space="preserve">that make financial responsible decisions and follow </w:t>
      </w:r>
      <w:r w:rsidR="00DD7F62">
        <w:rPr>
          <w:rFonts w:eastAsia="Calibri" w:cs="Times New Roman"/>
          <w:sz w:val="24"/>
          <w:szCs w:val="24"/>
        </w:rPr>
        <w:t xml:space="preserve">ethical </w:t>
      </w:r>
      <w:r>
        <w:rPr>
          <w:rFonts w:eastAsia="Calibri" w:cs="Times New Roman"/>
          <w:sz w:val="24"/>
          <w:szCs w:val="24"/>
        </w:rPr>
        <w:t xml:space="preserve">business </w:t>
      </w:r>
      <w:r w:rsidR="00DD7F62">
        <w:rPr>
          <w:rFonts w:eastAsia="Calibri" w:cs="Times New Roman"/>
          <w:sz w:val="24"/>
          <w:szCs w:val="24"/>
        </w:rPr>
        <w:t>practices</w:t>
      </w:r>
      <w:r>
        <w:rPr>
          <w:rFonts w:eastAsia="Calibri" w:cs="Times New Roman"/>
          <w:sz w:val="24"/>
          <w:szCs w:val="24"/>
        </w:rPr>
        <w:t>.</w:t>
      </w:r>
    </w:p>
    <w:p w:rsidR="00DD7F62" w:rsidRPr="00DD7F62" w:rsidRDefault="00DD7F62" w:rsidP="00DD7F62">
      <w:pPr>
        <w:rPr>
          <w:rFonts w:eastAsia="Calibri" w:cs="Times New Roman"/>
          <w:sz w:val="24"/>
          <w:szCs w:val="24"/>
        </w:rPr>
      </w:pPr>
    </w:p>
    <w:p w:rsidR="00DD7F62" w:rsidRPr="00DD7F62" w:rsidRDefault="00DD7F62" w:rsidP="00DD7F62">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DD7F62" w:rsidRPr="00DD7F62" w:rsidRDefault="00DD7F62" w:rsidP="00DD7F62">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DD7F62" w:rsidRPr="00DD7F62" w:rsidRDefault="00DD7F62" w:rsidP="00DD7F62">
      <w:pPr>
        <w:tabs>
          <w:tab w:val="left" w:pos="6825"/>
        </w:tabs>
        <w:rPr>
          <w:rFonts w:eastAsia="Calibri" w:cs="Times New Roman"/>
          <w:sz w:val="24"/>
          <w:szCs w:val="24"/>
        </w:rPr>
      </w:pPr>
    </w:p>
    <w:p w:rsidR="00DD7F62" w:rsidRPr="00DD7F62" w:rsidRDefault="00DD7F62" w:rsidP="00DD7F62">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DD7F62" w:rsidRPr="00DD7F62" w:rsidRDefault="00DD7F62" w:rsidP="00DD7F62">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DD7F62" w:rsidRPr="00DD7F62" w:rsidRDefault="00DD7F62" w:rsidP="00DD7F62">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DD7F62" w:rsidRPr="00DD7F62" w:rsidRDefault="00DD7F62" w:rsidP="00DD7F62">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DD7F62" w:rsidRPr="00DD7F62" w:rsidRDefault="00DD7F62" w:rsidP="00DD7F62">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DD7F62" w:rsidRPr="00DD7F62" w:rsidRDefault="00DD7F62" w:rsidP="00DD7F62">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DD7F62" w:rsidRPr="00DD7F62" w:rsidRDefault="00DD7F62" w:rsidP="00DD7F62">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DD7F62" w:rsidRPr="00DD7F62" w:rsidRDefault="00DD7F62" w:rsidP="00DD7F62">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DD7F62" w:rsidRPr="00DD7F62" w:rsidRDefault="00DD7F62" w:rsidP="00DD7F62">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DD7F62" w:rsidRPr="00DD7F62" w:rsidRDefault="00DD7F62" w:rsidP="00DD7F62">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DD7F62" w:rsidRPr="00DD7F62" w:rsidRDefault="00DD7F62" w:rsidP="00DD7F62">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DD7F62" w:rsidRPr="00DD7F62" w:rsidRDefault="00DD7F62" w:rsidP="00DD7F62">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DD7F62" w:rsidRPr="00DD7F62" w:rsidRDefault="00DD7F62" w:rsidP="00DD7F62">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DD7F62" w:rsidRPr="00DD7F62" w:rsidRDefault="00DD7F62" w:rsidP="00DD7F62">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DD7F62" w:rsidRPr="00DD7F62" w:rsidRDefault="00DD7F62" w:rsidP="00DD7F62">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DD7F62" w:rsidRPr="00DD7F62" w:rsidRDefault="00DD7F62" w:rsidP="00DD7F62">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DD7F62" w:rsidRPr="00DD7F62" w:rsidRDefault="00DD7F62" w:rsidP="00DD7F62">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DD7F62" w:rsidRPr="00DD7F62" w:rsidRDefault="00DD7F62" w:rsidP="00DD7F62">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DD7F62" w:rsidRPr="00DD7F62" w:rsidRDefault="00DD7F62" w:rsidP="00DD7F62">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DD7F62" w:rsidRPr="00DD7F62" w:rsidRDefault="00DD7F62" w:rsidP="00DD7F62">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DD7F62" w:rsidRPr="00DD7F62" w:rsidRDefault="00DD7F62" w:rsidP="00DD7F62">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DD7F62" w:rsidRPr="00DD7F62" w:rsidRDefault="00DD7F62" w:rsidP="00DD7F62">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DD7F62" w:rsidRPr="00DD7F62" w:rsidRDefault="00DD7F62" w:rsidP="00DD7F62">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DD7F62" w:rsidRPr="00DD7F62" w:rsidRDefault="00DD7F62" w:rsidP="00DD7F62">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DD7F62" w:rsidRPr="00DD7F62" w:rsidRDefault="00DD7F62" w:rsidP="00DD7F62">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DD7F62" w:rsidRPr="00DD7F62" w:rsidRDefault="00DD7F62" w:rsidP="00DD7F62">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DD7F62" w:rsidRPr="00DD7F62" w:rsidRDefault="00DD7F62" w:rsidP="00DD7F62">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Default="00DD7F62" w:rsidP="00135A8A">
      <w:pPr>
        <w:tabs>
          <w:tab w:val="left" w:pos="1080"/>
        </w:tabs>
        <w:ind w:left="360"/>
        <w:rPr>
          <w:sz w:val="24"/>
          <w:szCs w:val="24"/>
        </w:rPr>
      </w:pPr>
      <w:r w:rsidRPr="003B70E6">
        <w:t>This course introduces students to the role of a citizen, family member, consumer, and active participant in the business world.  Emphasis is placed on how an individual’s wants, needs, and values affect personal financial decisions and financial future.  Topics covered include career decisions, money management, financial security, credit management, resource management, risk management, and consumer rights and responsibilities.  Simulated situations representing realistic personal financial activities are integrated into the course. The Internet will be used for research to enhance various topics.</w:t>
      </w:r>
    </w:p>
    <w:p w:rsidR="00DD7F62" w:rsidRPr="00A946D2" w:rsidRDefault="00DD7F6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E66609"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DD7F62" w:rsidP="00E43704">
            <w:pPr>
              <w:tabs>
                <w:tab w:val="left" w:pos="360"/>
              </w:tabs>
              <w:jc w:val="center"/>
              <w:rPr>
                <w:sz w:val="24"/>
                <w:szCs w:val="24"/>
              </w:rPr>
            </w:pPr>
            <w:r>
              <w:rPr>
                <w:sz w:val="24"/>
                <w:szCs w:val="24"/>
              </w:rPr>
              <w:t>Semester</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DD7F62" w:rsidP="00A946D2">
            <w:pPr>
              <w:tabs>
                <w:tab w:val="left" w:pos="360"/>
              </w:tabs>
              <w:rPr>
                <w:sz w:val="24"/>
                <w:szCs w:val="24"/>
              </w:rPr>
            </w:pPr>
            <w:r w:rsidRPr="00DD7F62">
              <w:rPr>
                <w:sz w:val="24"/>
                <w:szCs w:val="24"/>
              </w:rPr>
              <w:t>Unit # 1: Income and Buying Power</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DD7F62" w:rsidP="00DD7F62">
            <w:pPr>
              <w:tabs>
                <w:tab w:val="left" w:pos="360"/>
              </w:tabs>
              <w:jc w:val="center"/>
              <w:rPr>
                <w:sz w:val="24"/>
                <w:szCs w:val="24"/>
              </w:rPr>
            </w:pPr>
            <w:r>
              <w:rPr>
                <w:sz w:val="24"/>
                <w:szCs w:val="24"/>
              </w:rPr>
              <w:t>Semester</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DD7F62" w:rsidP="00A946D2">
            <w:pPr>
              <w:tabs>
                <w:tab w:val="left" w:pos="360"/>
              </w:tabs>
              <w:rPr>
                <w:sz w:val="24"/>
                <w:szCs w:val="24"/>
              </w:rPr>
            </w:pPr>
            <w:r w:rsidRPr="00DD7F62">
              <w:rPr>
                <w:sz w:val="24"/>
                <w:szCs w:val="24"/>
              </w:rPr>
              <w:t>Unit # 2: Financial Planning and Risks</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F62" w:rsidRDefault="00DD7F62" w:rsidP="00625DAE">
      <w:r>
        <w:separator/>
      </w:r>
    </w:p>
  </w:endnote>
  <w:endnote w:type="continuationSeparator" w:id="0">
    <w:p w:rsidR="00DD7F62" w:rsidRDefault="00DD7F62"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F62" w:rsidRDefault="00DD7F62" w:rsidP="00625DAE">
      <w:r>
        <w:separator/>
      </w:r>
    </w:p>
  </w:footnote>
  <w:footnote w:type="continuationSeparator" w:id="0">
    <w:p w:rsidR="00DD7F62" w:rsidRDefault="00DD7F62"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71B3E"/>
    <w:rsid w:val="005B04E5"/>
    <w:rsid w:val="005B529A"/>
    <w:rsid w:val="00625DAE"/>
    <w:rsid w:val="00652A74"/>
    <w:rsid w:val="00656839"/>
    <w:rsid w:val="006E21A5"/>
    <w:rsid w:val="00732525"/>
    <w:rsid w:val="007354D3"/>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D63CFB"/>
    <w:rsid w:val="00D74BB9"/>
    <w:rsid w:val="00DD7F62"/>
    <w:rsid w:val="00E23691"/>
    <w:rsid w:val="00E43704"/>
    <w:rsid w:val="00E66609"/>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20</cp:revision>
  <cp:lastPrinted>2012-06-05T18:01:00Z</cp:lastPrinted>
  <dcterms:created xsi:type="dcterms:W3CDTF">2015-11-02T14:29:00Z</dcterms:created>
  <dcterms:modified xsi:type="dcterms:W3CDTF">2016-02-29T15:08:00Z</dcterms:modified>
</cp:coreProperties>
</file>