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2049" w14:textId="4F3CD4DD" w:rsidR="00927497" w:rsidRDefault="00B956C5" w:rsidP="006E737B">
      <w:pPr>
        <w:jc w:val="center"/>
        <w:rPr>
          <w:rFonts w:ascii="Calibri" w:hAnsi="Calibri"/>
          <w:b/>
          <w:sz w:val="40"/>
          <w:szCs w:val="40"/>
        </w:rPr>
      </w:pPr>
      <w:r>
        <w:rPr>
          <w:rFonts w:ascii="Calibri" w:hAnsi="Calibri"/>
          <w:b/>
          <w:sz w:val="40"/>
          <w:szCs w:val="40"/>
        </w:rPr>
        <w:t>The Earth, Solar System, and Beyond</w:t>
      </w:r>
    </w:p>
    <w:p w14:paraId="5BDE40D9" w14:textId="77777777" w:rsidR="00387B51" w:rsidRDefault="00A946D2" w:rsidP="00387B51">
      <w:pPr>
        <w:jc w:val="center"/>
        <w:rPr>
          <w:rFonts w:ascii="Calibri" w:hAnsi="Calibri"/>
          <w:b/>
          <w:sz w:val="40"/>
          <w:szCs w:val="40"/>
        </w:rPr>
      </w:pPr>
      <w:r>
        <w:rPr>
          <w:rFonts w:ascii="Calibri" w:hAnsi="Calibri"/>
          <w:b/>
          <w:sz w:val="40"/>
          <w:szCs w:val="40"/>
        </w:rPr>
        <w:t>High School</w:t>
      </w:r>
    </w:p>
    <w:p w14:paraId="786AA4BD"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2E3ED3AF"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3B4B9F24" w14:textId="77777777" w:rsidR="00387B51" w:rsidRPr="00732525" w:rsidRDefault="00387B51" w:rsidP="00387B51">
      <w:pPr>
        <w:rPr>
          <w:rFonts w:ascii="Calibri" w:hAnsi="Calibri"/>
          <w:b/>
          <w:sz w:val="24"/>
          <w:szCs w:val="24"/>
        </w:rPr>
      </w:pPr>
    </w:p>
    <w:p w14:paraId="5F24F541"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27E19BE7" w14:textId="5B5B8C4F" w:rsidR="00387B51" w:rsidRDefault="00387B51" w:rsidP="00387B51">
      <w:pPr>
        <w:jc w:val="center"/>
        <w:rPr>
          <w:rFonts w:ascii="Calibri" w:hAnsi="Calibri"/>
          <w:b/>
          <w:sz w:val="32"/>
          <w:szCs w:val="32"/>
        </w:rPr>
      </w:pPr>
      <w:r w:rsidRPr="00927497">
        <w:rPr>
          <w:rFonts w:ascii="Calibri" w:hAnsi="Calibri"/>
          <w:b/>
          <w:sz w:val="32"/>
          <w:szCs w:val="32"/>
        </w:rPr>
        <w:t>LINDEN, NEW JERSEY</w:t>
      </w:r>
    </w:p>
    <w:p w14:paraId="6222A6E9" w14:textId="77777777" w:rsidR="00536E36" w:rsidRPr="00927497" w:rsidRDefault="00536E36" w:rsidP="00387B51">
      <w:pPr>
        <w:jc w:val="center"/>
        <w:rPr>
          <w:rFonts w:ascii="Calibri" w:hAnsi="Calibri"/>
          <w:b/>
          <w:sz w:val="32"/>
          <w:szCs w:val="32"/>
        </w:rPr>
      </w:pPr>
    </w:p>
    <w:p w14:paraId="71C5B300" w14:textId="77777777" w:rsidR="00200F69" w:rsidRPr="00D81B3B" w:rsidRDefault="00200F69" w:rsidP="00200F69">
      <w:pPr>
        <w:jc w:val="center"/>
        <w:rPr>
          <w:rFonts w:ascii="Calibri" w:hAnsi="Calibri"/>
          <w:b/>
          <w:sz w:val="28"/>
          <w:szCs w:val="28"/>
        </w:rPr>
      </w:pPr>
      <w:r w:rsidRPr="00D81B3B">
        <w:rPr>
          <w:rFonts w:ascii="Calibri" w:hAnsi="Calibri"/>
          <w:b/>
          <w:sz w:val="28"/>
          <w:szCs w:val="28"/>
        </w:rPr>
        <w:t>DENISE CLEARY</w:t>
      </w:r>
    </w:p>
    <w:p w14:paraId="4870F0E0" w14:textId="77777777" w:rsidR="00200F69" w:rsidRPr="00D81B3B" w:rsidRDefault="00200F69" w:rsidP="00200F69">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2FD58E2E" w14:textId="77777777" w:rsidR="00200F69" w:rsidRPr="00966379" w:rsidRDefault="00200F69" w:rsidP="00200F69">
      <w:pPr>
        <w:jc w:val="center"/>
        <w:rPr>
          <w:rFonts w:ascii="Calibri" w:hAnsi="Calibri"/>
          <w:b/>
          <w:sz w:val="20"/>
          <w:szCs w:val="20"/>
        </w:rPr>
      </w:pPr>
    </w:p>
    <w:p w14:paraId="2EBC3528" w14:textId="77777777" w:rsidR="00200F69" w:rsidRPr="00D81B3B" w:rsidRDefault="00200F69" w:rsidP="00200F69">
      <w:pPr>
        <w:jc w:val="center"/>
        <w:rPr>
          <w:rFonts w:ascii="Calibri" w:hAnsi="Calibri"/>
          <w:b/>
          <w:sz w:val="28"/>
          <w:szCs w:val="28"/>
        </w:rPr>
      </w:pPr>
      <w:r>
        <w:rPr>
          <w:rFonts w:ascii="Calibri" w:hAnsi="Calibri"/>
          <w:b/>
          <w:sz w:val="28"/>
          <w:szCs w:val="28"/>
        </w:rPr>
        <w:t>MICHAEL WALTERS</w:t>
      </w:r>
    </w:p>
    <w:p w14:paraId="05500D16" w14:textId="77777777" w:rsidR="00200F69" w:rsidRPr="00D81B3B" w:rsidRDefault="00200F69" w:rsidP="00200F69">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6B12B864" w14:textId="77777777" w:rsidR="00200F69" w:rsidRDefault="00200F69" w:rsidP="00200F69">
      <w:pPr>
        <w:jc w:val="center"/>
        <w:rPr>
          <w:rFonts w:ascii="Calibri" w:hAnsi="Calibri"/>
          <w:b/>
          <w:sz w:val="20"/>
          <w:szCs w:val="20"/>
        </w:rPr>
      </w:pPr>
    </w:p>
    <w:p w14:paraId="4838C565" w14:textId="77777777" w:rsidR="00200F69" w:rsidRPr="00BD797D" w:rsidRDefault="00200F69" w:rsidP="00200F69">
      <w:pPr>
        <w:jc w:val="center"/>
        <w:rPr>
          <w:rFonts w:ascii="Calibri" w:hAnsi="Calibri"/>
          <w:b/>
          <w:sz w:val="28"/>
          <w:szCs w:val="28"/>
        </w:rPr>
      </w:pPr>
      <w:r>
        <w:rPr>
          <w:rFonts w:ascii="Calibri" w:hAnsi="Calibri"/>
          <w:b/>
          <w:sz w:val="28"/>
          <w:szCs w:val="28"/>
        </w:rPr>
        <w:t>ROSE GOLDSTEIN</w:t>
      </w:r>
    </w:p>
    <w:p w14:paraId="44F99147" w14:textId="77777777" w:rsidR="00200F69" w:rsidRPr="00D81B3B" w:rsidRDefault="00200F69" w:rsidP="00200F69">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3547259D" w14:textId="77777777" w:rsidR="00200F69" w:rsidRPr="00966379" w:rsidRDefault="00200F69" w:rsidP="00200F69">
      <w:pPr>
        <w:jc w:val="center"/>
        <w:rPr>
          <w:rFonts w:ascii="Calibri" w:hAnsi="Calibri"/>
          <w:b/>
          <w:sz w:val="20"/>
          <w:szCs w:val="20"/>
        </w:rPr>
      </w:pPr>
    </w:p>
    <w:p w14:paraId="057AC331" w14:textId="77777777" w:rsidR="00200F69" w:rsidRPr="00966379" w:rsidRDefault="00200F69" w:rsidP="00200F69">
      <w:pPr>
        <w:jc w:val="center"/>
        <w:rPr>
          <w:rFonts w:ascii="Calibri" w:hAnsi="Calibri"/>
          <w:b/>
          <w:sz w:val="20"/>
          <w:szCs w:val="20"/>
        </w:rPr>
      </w:pPr>
    </w:p>
    <w:p w14:paraId="519EE965" w14:textId="77777777" w:rsidR="00200F69" w:rsidRPr="00D81B3B" w:rsidRDefault="00200F69" w:rsidP="00200F69">
      <w:pPr>
        <w:jc w:val="center"/>
        <w:rPr>
          <w:rFonts w:ascii="Calibri" w:hAnsi="Calibri"/>
          <w:b/>
          <w:sz w:val="24"/>
          <w:szCs w:val="24"/>
        </w:rPr>
      </w:pPr>
      <w:r w:rsidRPr="00D81B3B">
        <w:rPr>
          <w:rFonts w:ascii="Calibri" w:hAnsi="Calibri"/>
          <w:b/>
          <w:sz w:val="24"/>
          <w:szCs w:val="24"/>
        </w:rPr>
        <w:t>The Linden Board of Education adopted the Curriculum Guide on:</w:t>
      </w:r>
    </w:p>
    <w:p w14:paraId="586CA32D" w14:textId="77777777" w:rsidR="00200F69" w:rsidRPr="00D81B3B" w:rsidRDefault="00200F69" w:rsidP="00200F69">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200F69" w:rsidRPr="00D81B3B" w14:paraId="4CD468D9" w14:textId="77777777" w:rsidTr="000F6CD5">
        <w:trPr>
          <w:jc w:val="center"/>
        </w:trPr>
        <w:tc>
          <w:tcPr>
            <w:tcW w:w="4521" w:type="dxa"/>
            <w:tcBorders>
              <w:bottom w:val="single" w:sz="4" w:space="0" w:color="auto"/>
            </w:tcBorders>
            <w:shd w:val="clear" w:color="auto" w:fill="auto"/>
          </w:tcPr>
          <w:p w14:paraId="5ABCED3B" w14:textId="77777777" w:rsidR="00200F69" w:rsidRPr="00D81B3B" w:rsidRDefault="00200F69" w:rsidP="000F6CD5">
            <w:pPr>
              <w:jc w:val="center"/>
              <w:rPr>
                <w:rFonts w:ascii="Calibri" w:hAnsi="Calibri"/>
                <w:b/>
                <w:sz w:val="24"/>
                <w:szCs w:val="24"/>
              </w:rPr>
            </w:pPr>
            <w:r>
              <w:rPr>
                <w:rFonts w:ascii="Calibri" w:hAnsi="Calibri"/>
                <w:b/>
                <w:sz w:val="24"/>
                <w:szCs w:val="24"/>
              </w:rPr>
              <w:t>August 2019</w:t>
            </w:r>
          </w:p>
        </w:tc>
        <w:tc>
          <w:tcPr>
            <w:tcW w:w="1637" w:type="dxa"/>
          </w:tcPr>
          <w:p w14:paraId="1CE5E241" w14:textId="77777777" w:rsidR="00200F69" w:rsidRPr="00D81B3B" w:rsidRDefault="00200F69" w:rsidP="000F6CD5">
            <w:pPr>
              <w:jc w:val="center"/>
              <w:rPr>
                <w:rFonts w:ascii="Calibri" w:hAnsi="Calibri"/>
                <w:b/>
                <w:sz w:val="24"/>
                <w:szCs w:val="24"/>
              </w:rPr>
            </w:pPr>
          </w:p>
        </w:tc>
        <w:tc>
          <w:tcPr>
            <w:tcW w:w="4642" w:type="dxa"/>
            <w:tcBorders>
              <w:bottom w:val="single" w:sz="4" w:space="0" w:color="auto"/>
            </w:tcBorders>
            <w:shd w:val="clear" w:color="auto" w:fill="auto"/>
          </w:tcPr>
          <w:p w14:paraId="3A2587B8" w14:textId="77777777" w:rsidR="00200F69" w:rsidRPr="00D81B3B" w:rsidRDefault="00200F69"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200F69" w:rsidRPr="00D81B3B" w14:paraId="6AEADAA8" w14:textId="77777777" w:rsidTr="000F6CD5">
        <w:trPr>
          <w:jc w:val="center"/>
        </w:trPr>
        <w:tc>
          <w:tcPr>
            <w:tcW w:w="4521" w:type="dxa"/>
            <w:tcBorders>
              <w:top w:val="single" w:sz="4" w:space="0" w:color="auto"/>
            </w:tcBorders>
            <w:shd w:val="clear" w:color="auto" w:fill="auto"/>
          </w:tcPr>
          <w:p w14:paraId="0BC71FDB" w14:textId="77777777" w:rsidR="00200F69" w:rsidRPr="00D81B3B" w:rsidRDefault="00200F69" w:rsidP="000F6CD5">
            <w:pPr>
              <w:jc w:val="center"/>
              <w:rPr>
                <w:rFonts w:ascii="Calibri" w:hAnsi="Calibri"/>
                <w:b/>
                <w:sz w:val="24"/>
                <w:szCs w:val="24"/>
              </w:rPr>
            </w:pPr>
            <w:r w:rsidRPr="00D81B3B">
              <w:rPr>
                <w:rFonts w:ascii="Calibri" w:hAnsi="Calibri"/>
                <w:b/>
                <w:sz w:val="24"/>
                <w:szCs w:val="24"/>
              </w:rPr>
              <w:t>Date</w:t>
            </w:r>
          </w:p>
        </w:tc>
        <w:tc>
          <w:tcPr>
            <w:tcW w:w="1637" w:type="dxa"/>
          </w:tcPr>
          <w:p w14:paraId="711DD1EC" w14:textId="77777777" w:rsidR="00200F69" w:rsidRPr="00D81B3B" w:rsidRDefault="00200F69" w:rsidP="000F6CD5">
            <w:pPr>
              <w:jc w:val="center"/>
              <w:rPr>
                <w:rFonts w:ascii="Calibri" w:hAnsi="Calibri"/>
                <w:b/>
                <w:sz w:val="24"/>
                <w:szCs w:val="24"/>
              </w:rPr>
            </w:pPr>
          </w:p>
        </w:tc>
        <w:tc>
          <w:tcPr>
            <w:tcW w:w="4642" w:type="dxa"/>
            <w:tcBorders>
              <w:top w:val="single" w:sz="4" w:space="0" w:color="auto"/>
            </w:tcBorders>
            <w:shd w:val="clear" w:color="auto" w:fill="auto"/>
          </w:tcPr>
          <w:p w14:paraId="200B41DF" w14:textId="77777777" w:rsidR="00200F69" w:rsidRPr="00D81B3B" w:rsidRDefault="00200F69" w:rsidP="000F6CD5">
            <w:pPr>
              <w:jc w:val="center"/>
              <w:rPr>
                <w:rFonts w:ascii="Calibri" w:hAnsi="Calibri"/>
                <w:b/>
                <w:sz w:val="24"/>
                <w:szCs w:val="24"/>
              </w:rPr>
            </w:pPr>
            <w:r w:rsidRPr="00D81B3B">
              <w:rPr>
                <w:rFonts w:ascii="Calibri" w:hAnsi="Calibri"/>
                <w:b/>
                <w:sz w:val="24"/>
                <w:szCs w:val="24"/>
              </w:rPr>
              <w:t>Agenda Item</w:t>
            </w:r>
          </w:p>
        </w:tc>
      </w:tr>
      <w:tr w:rsidR="00200F69" w:rsidRPr="00D81B3B" w14:paraId="1A3C1DB0" w14:textId="77777777" w:rsidTr="000F6CD5">
        <w:trPr>
          <w:trHeight w:val="179"/>
          <w:jc w:val="center"/>
        </w:trPr>
        <w:tc>
          <w:tcPr>
            <w:tcW w:w="10800" w:type="dxa"/>
            <w:gridSpan w:val="3"/>
            <w:shd w:val="clear" w:color="auto" w:fill="auto"/>
          </w:tcPr>
          <w:p w14:paraId="4ED34648" w14:textId="77777777" w:rsidR="00200F69" w:rsidRPr="00D81B3B" w:rsidRDefault="00200F69" w:rsidP="000F6CD5">
            <w:pPr>
              <w:rPr>
                <w:rFonts w:ascii="Calibri" w:hAnsi="Calibri"/>
                <w:b/>
                <w:sz w:val="24"/>
                <w:szCs w:val="24"/>
              </w:rPr>
            </w:pPr>
          </w:p>
        </w:tc>
      </w:tr>
      <w:tr w:rsidR="00200F69" w:rsidRPr="00D81B3B" w14:paraId="67FFD671" w14:textId="77777777" w:rsidTr="000F6CD5">
        <w:trPr>
          <w:trHeight w:val="692"/>
          <w:jc w:val="center"/>
        </w:trPr>
        <w:tc>
          <w:tcPr>
            <w:tcW w:w="10800" w:type="dxa"/>
            <w:gridSpan w:val="3"/>
            <w:shd w:val="clear" w:color="auto" w:fill="auto"/>
          </w:tcPr>
          <w:p w14:paraId="0F4BA123" w14:textId="77777777" w:rsidR="00200F69" w:rsidRDefault="00200F69" w:rsidP="000F6CD5">
            <w:pPr>
              <w:jc w:val="center"/>
              <w:rPr>
                <w:rFonts w:ascii="Calibri" w:hAnsi="Calibri"/>
                <w:b/>
                <w:sz w:val="24"/>
                <w:szCs w:val="24"/>
              </w:rPr>
            </w:pPr>
            <w:r w:rsidRPr="00D81B3B">
              <w:rPr>
                <w:rFonts w:ascii="Calibri" w:hAnsi="Calibri"/>
                <w:b/>
                <w:sz w:val="24"/>
                <w:szCs w:val="24"/>
              </w:rPr>
              <w:t>Rationale</w:t>
            </w:r>
          </w:p>
          <w:p w14:paraId="63717808" w14:textId="77777777" w:rsidR="00200F69" w:rsidRPr="00966379" w:rsidRDefault="00200F69" w:rsidP="000F6CD5">
            <w:pPr>
              <w:jc w:val="center"/>
              <w:rPr>
                <w:rFonts w:ascii="Calibri" w:hAnsi="Calibri"/>
                <w:b/>
                <w:sz w:val="24"/>
                <w:szCs w:val="24"/>
              </w:rPr>
            </w:pPr>
            <w:r w:rsidRPr="00966379">
              <w:rPr>
                <w:rFonts w:ascii="Calibri" w:hAnsi="Calibri"/>
                <w:b/>
                <w:sz w:val="24"/>
                <w:szCs w:val="24"/>
              </w:rPr>
              <w:t>Be it resolved,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1316AD37" w14:textId="77777777" w:rsidR="00200F69" w:rsidRPr="00D81B3B" w:rsidRDefault="00200F69" w:rsidP="000F6CD5">
            <w:pPr>
              <w:jc w:val="center"/>
              <w:rPr>
                <w:rFonts w:ascii="Calibri" w:hAnsi="Calibri"/>
                <w:b/>
                <w:sz w:val="24"/>
                <w:szCs w:val="24"/>
              </w:rPr>
            </w:pPr>
          </w:p>
        </w:tc>
      </w:tr>
    </w:tbl>
    <w:p w14:paraId="5CD2A77B" w14:textId="77777777" w:rsidR="00200F69" w:rsidRDefault="00200F69" w:rsidP="00200F69">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1870123F" w14:textId="77777777" w:rsidR="00200F69" w:rsidRPr="00966379" w:rsidRDefault="00200F69" w:rsidP="00200F69">
      <w:pPr>
        <w:pStyle w:val="NoSpacing"/>
        <w:jc w:val="center"/>
        <w:rPr>
          <w:rFonts w:ascii="Times New Roman" w:hAnsi="Times New Roman"/>
          <w:b/>
          <w:sz w:val="20"/>
          <w:szCs w:val="20"/>
        </w:rPr>
      </w:pPr>
    </w:p>
    <w:p w14:paraId="1E78B855" w14:textId="77777777" w:rsidR="00200F69" w:rsidRPr="00D81B3B" w:rsidRDefault="00200F69" w:rsidP="00200F69">
      <w:pPr>
        <w:pStyle w:val="NoSpacing"/>
        <w:rPr>
          <w:rFonts w:ascii="Times New Roman" w:hAnsi="Times New Roman"/>
          <w:sz w:val="24"/>
          <w:szCs w:val="24"/>
        </w:rPr>
      </w:pPr>
      <w:r w:rsidRPr="00D81B3B">
        <w:rPr>
          <w:rFonts w:ascii="Times New Roman" w:hAnsi="Times New Roman"/>
          <w:sz w:val="24"/>
          <w:szCs w:val="24"/>
        </w:rPr>
        <w:t>If any student or staff member feels that they have experienced discrimination on the basis of race, color, creed, religion, gender, ancestry, national origin, social or economic status, sexual orientation or disability, contact:</w:t>
      </w:r>
    </w:p>
    <w:p w14:paraId="18444642" w14:textId="77777777" w:rsidR="00200F69" w:rsidRPr="00D81B3B" w:rsidRDefault="00200F69" w:rsidP="00200F69">
      <w:pPr>
        <w:pStyle w:val="NoSpacing"/>
        <w:rPr>
          <w:rFonts w:ascii="Times New Roman" w:hAnsi="Times New Roman"/>
          <w:sz w:val="24"/>
          <w:szCs w:val="24"/>
        </w:rPr>
      </w:pPr>
    </w:p>
    <w:p w14:paraId="0E48205B" w14:textId="77777777" w:rsidR="00200F69" w:rsidRPr="00D81B3B" w:rsidRDefault="00200F69" w:rsidP="00200F69">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000DF664" w14:textId="77777777" w:rsidR="00200F69" w:rsidRPr="00D81B3B" w:rsidRDefault="00200F69" w:rsidP="00200F69">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32B1F7B3" w14:textId="77777777" w:rsidR="00200F69" w:rsidRDefault="00200F69" w:rsidP="00200F69">
      <w:pPr>
        <w:pStyle w:val="NoSpacing"/>
        <w:jc w:val="center"/>
        <w:rPr>
          <w:rFonts w:ascii="Times New Roman" w:hAnsi="Times New Roman"/>
          <w:sz w:val="24"/>
          <w:szCs w:val="24"/>
        </w:rPr>
      </w:pPr>
    </w:p>
    <w:p w14:paraId="70786FA8" w14:textId="77777777" w:rsidR="00200F69" w:rsidRPr="00D81B3B" w:rsidRDefault="00200F69" w:rsidP="00200F69">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57608182" w14:textId="77777777" w:rsidR="00200F69" w:rsidRPr="00D81B3B" w:rsidRDefault="00200F69" w:rsidP="00200F69">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2C552D46" w14:textId="77777777" w:rsidR="00200F69" w:rsidRPr="00D81B3B" w:rsidRDefault="00200F69" w:rsidP="00200F69">
      <w:pPr>
        <w:pStyle w:val="NoSpacing"/>
        <w:jc w:val="center"/>
        <w:rPr>
          <w:rFonts w:ascii="Times New Roman" w:hAnsi="Times New Roman"/>
          <w:sz w:val="24"/>
          <w:szCs w:val="24"/>
        </w:rPr>
      </w:pPr>
    </w:p>
    <w:p w14:paraId="5AB69020" w14:textId="77777777" w:rsidR="00200F69" w:rsidRPr="00D81B3B" w:rsidRDefault="00200F69" w:rsidP="00200F69">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28C3F039" w14:textId="77777777" w:rsidR="00200F69" w:rsidRPr="00D81B3B" w:rsidRDefault="00200F69" w:rsidP="00200F69">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7FE370F4" w14:textId="77777777" w:rsidR="00200F69" w:rsidRPr="00D81B3B" w:rsidRDefault="00200F69" w:rsidP="00200F69">
      <w:pPr>
        <w:pStyle w:val="NoSpacing"/>
        <w:jc w:val="center"/>
        <w:rPr>
          <w:rFonts w:ascii="Times New Roman" w:hAnsi="Times New Roman"/>
          <w:sz w:val="24"/>
          <w:szCs w:val="24"/>
        </w:rPr>
      </w:pPr>
    </w:p>
    <w:p w14:paraId="53712DF6" w14:textId="77777777" w:rsidR="00200F69" w:rsidRPr="00D81B3B" w:rsidRDefault="00200F69" w:rsidP="00200F69">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37FD10CE" w14:textId="77777777" w:rsidR="00200F69" w:rsidRPr="00D81B3B" w:rsidRDefault="00200F69" w:rsidP="00200F69">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027A91E5" w14:textId="77777777" w:rsidR="00200F69" w:rsidRDefault="00200F69" w:rsidP="00200F69"/>
    <w:p w14:paraId="1526A5DE" w14:textId="77777777" w:rsidR="00387B51" w:rsidRPr="00927497" w:rsidRDefault="00387B51" w:rsidP="00387B51">
      <w:pPr>
        <w:jc w:val="center"/>
        <w:rPr>
          <w:rFonts w:ascii="Calibri" w:hAnsi="Calibri"/>
          <w:b/>
          <w:sz w:val="32"/>
          <w:szCs w:val="32"/>
        </w:rPr>
      </w:pPr>
    </w:p>
    <w:p w14:paraId="14D97643" w14:textId="77777777" w:rsidR="00200F69" w:rsidRDefault="00200F69" w:rsidP="00404DC1">
      <w:pPr>
        <w:pStyle w:val="NormalWeb"/>
        <w:shd w:val="clear" w:color="auto" w:fill="FFFFFF"/>
        <w:spacing w:before="0" w:beforeAutospacing="0" w:after="0" w:afterAutospacing="0"/>
        <w:jc w:val="center"/>
        <w:rPr>
          <w:rStyle w:val="Strong"/>
          <w:rFonts w:ascii="Calibri" w:hAnsi="Calibri"/>
          <w:color w:val="333333"/>
          <w:sz w:val="32"/>
          <w:szCs w:val="32"/>
        </w:rPr>
      </w:pPr>
    </w:p>
    <w:p w14:paraId="14F93066" w14:textId="333BB69D"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Vision</w:t>
      </w:r>
    </w:p>
    <w:p w14:paraId="36C269C2"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5B6013DD" w14:textId="46610734"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r w:rsidR="00E87366">
        <w:rPr>
          <w:rFonts w:ascii="Calibri" w:hAnsi="Calibri"/>
          <w:color w:val="333333"/>
          <w:sz w:val="32"/>
          <w:szCs w:val="32"/>
        </w:rPr>
        <w:t>.</w:t>
      </w:r>
    </w:p>
    <w:p w14:paraId="0FE6DDB4"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26D402C2"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E7A8114"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CB6A360"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75A65BCF"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0A1D0E69"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14:paraId="597C60C0" w14:textId="77777777" w:rsidR="00404DC1" w:rsidRPr="004643F6" w:rsidRDefault="00404DC1" w:rsidP="00404DC1">
      <w:pPr>
        <w:rPr>
          <w:sz w:val="40"/>
          <w:szCs w:val="40"/>
        </w:rPr>
      </w:pPr>
    </w:p>
    <w:p w14:paraId="4A72446D" w14:textId="77777777" w:rsidR="008502F0" w:rsidRDefault="008502F0" w:rsidP="008502F0">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t>Science Department</w:t>
      </w:r>
      <w:r w:rsidRPr="000125F0">
        <w:rPr>
          <w:rFonts w:asciiTheme="majorHAnsi" w:eastAsia="Times New Roman" w:hAnsiTheme="majorHAnsi" w:cstheme="majorHAnsi"/>
          <w:b/>
          <w:bCs/>
          <w:sz w:val="32"/>
          <w:szCs w:val="32"/>
        </w:rPr>
        <w:t xml:space="preserve"> Vision</w:t>
      </w:r>
    </w:p>
    <w:p w14:paraId="1CB7E5D6" w14:textId="77777777" w:rsidR="008502F0" w:rsidRPr="000125F0" w:rsidRDefault="008502F0" w:rsidP="008502F0">
      <w:pPr>
        <w:pStyle w:val="NoSpacing"/>
        <w:jc w:val="center"/>
        <w:rPr>
          <w:rFonts w:asciiTheme="majorHAnsi" w:eastAsia="Times New Roman" w:hAnsiTheme="majorHAnsi" w:cstheme="majorHAnsi"/>
          <w:sz w:val="32"/>
          <w:szCs w:val="32"/>
        </w:rPr>
      </w:pPr>
    </w:p>
    <w:p w14:paraId="55F90D38" w14:textId="77777777" w:rsidR="008502F0" w:rsidRPr="00F36A90" w:rsidRDefault="008502F0" w:rsidP="008502F0">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4E7D0C50" w14:textId="77777777" w:rsidR="008502F0" w:rsidRPr="00F36A90" w:rsidRDefault="008502F0" w:rsidP="008502F0">
      <w:pPr>
        <w:pStyle w:val="NoSpacing"/>
        <w:rPr>
          <w:rFonts w:asciiTheme="majorHAnsi" w:hAnsiTheme="majorHAnsi" w:cstheme="majorHAnsi"/>
          <w:color w:val="000000" w:themeColor="text1"/>
          <w:sz w:val="32"/>
          <w:szCs w:val="32"/>
        </w:rPr>
      </w:pPr>
    </w:p>
    <w:p w14:paraId="2E4E3347" w14:textId="77777777" w:rsidR="008502F0" w:rsidRDefault="008502F0" w:rsidP="008502F0">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0911F8F2" w14:textId="77777777" w:rsidR="008502F0" w:rsidRPr="000125F0" w:rsidRDefault="008502F0" w:rsidP="008502F0">
      <w:pPr>
        <w:pStyle w:val="NoSpacing"/>
        <w:jc w:val="center"/>
        <w:rPr>
          <w:rFonts w:asciiTheme="majorHAnsi" w:hAnsiTheme="majorHAnsi" w:cstheme="majorHAnsi"/>
          <w:b/>
          <w:sz w:val="32"/>
          <w:szCs w:val="32"/>
        </w:rPr>
      </w:pPr>
    </w:p>
    <w:p w14:paraId="118820B4" w14:textId="77777777" w:rsidR="008502F0" w:rsidRPr="00F36A90" w:rsidRDefault="008502F0" w:rsidP="008502F0">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2E5B4321" w14:textId="77777777" w:rsidR="008502F0" w:rsidRPr="00F36A90" w:rsidRDefault="008502F0" w:rsidP="008502F0">
      <w:pPr>
        <w:pStyle w:val="NoSpacing"/>
        <w:rPr>
          <w:rFonts w:asciiTheme="majorHAnsi" w:hAnsiTheme="majorHAnsi" w:cstheme="majorHAnsi"/>
          <w:sz w:val="32"/>
          <w:szCs w:val="32"/>
        </w:rPr>
      </w:pPr>
    </w:p>
    <w:p w14:paraId="7E2B0321" w14:textId="77777777" w:rsidR="008502F0" w:rsidRDefault="008502F0" w:rsidP="008502F0">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53240764" w14:textId="77777777" w:rsidR="008502F0" w:rsidRPr="000125F0" w:rsidRDefault="008502F0" w:rsidP="008502F0">
      <w:pPr>
        <w:pStyle w:val="NoSpacing"/>
        <w:jc w:val="center"/>
        <w:rPr>
          <w:rFonts w:asciiTheme="majorHAnsi" w:hAnsiTheme="majorHAnsi" w:cstheme="majorHAnsi"/>
          <w:b/>
          <w:sz w:val="32"/>
          <w:szCs w:val="32"/>
        </w:rPr>
      </w:pPr>
    </w:p>
    <w:p w14:paraId="283C71A7" w14:textId="77777777" w:rsidR="008502F0" w:rsidRPr="00F36A90" w:rsidRDefault="008502F0" w:rsidP="008502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31E0E3D8" w14:textId="77777777" w:rsidR="008502F0" w:rsidRPr="00F36A90" w:rsidRDefault="008502F0" w:rsidP="008502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1B919696" w14:textId="77777777" w:rsidR="008502F0" w:rsidRPr="00F36A90" w:rsidRDefault="008502F0" w:rsidP="008502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3B4AA60D" w14:textId="77777777" w:rsidR="008502F0" w:rsidRPr="00F36A90" w:rsidRDefault="008502F0" w:rsidP="008502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13987CBF" w14:textId="63FBCCD2" w:rsidR="00404DC1" w:rsidRPr="00D662BF" w:rsidRDefault="008502F0" w:rsidP="00D66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sectPr w:rsidR="00404DC1" w:rsidRPr="00D662BF"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4D45E68F" w14:textId="08414E94" w:rsidR="00B956C5" w:rsidRPr="00D662BF" w:rsidRDefault="00BD7826" w:rsidP="00D662BF">
      <w:pPr>
        <w:pStyle w:val="ListParagraph"/>
        <w:numPr>
          <w:ilvl w:val="0"/>
          <w:numId w:val="40"/>
        </w:numPr>
        <w:tabs>
          <w:tab w:val="left" w:pos="360"/>
        </w:tabs>
        <w:rPr>
          <w:b/>
          <w:bCs/>
          <w:sz w:val="24"/>
          <w:szCs w:val="24"/>
        </w:rPr>
      </w:pPr>
      <w:r w:rsidRPr="00D662BF">
        <w:rPr>
          <w:b/>
          <w:bCs/>
          <w:sz w:val="24"/>
          <w:szCs w:val="24"/>
        </w:rPr>
        <w:lastRenderedPageBreak/>
        <w:t>Course Description</w:t>
      </w:r>
    </w:p>
    <w:p w14:paraId="37A53D55" w14:textId="77777777" w:rsidR="00947C8D" w:rsidRPr="00947C8D" w:rsidRDefault="00B956C5" w:rsidP="003B176A">
      <w:pPr>
        <w:tabs>
          <w:tab w:val="left" w:pos="360"/>
        </w:tabs>
        <w:ind w:left="360"/>
        <w:rPr>
          <w:sz w:val="24"/>
          <w:szCs w:val="24"/>
        </w:rPr>
      </w:pPr>
      <w:r w:rsidRPr="00B956C5">
        <w:rPr>
          <w:rFonts w:eastAsia="Times New Roman" w:cs="Calibri"/>
          <w:sz w:val="24"/>
          <w:szCs w:val="24"/>
        </w:rPr>
        <w:t>This is a lab-based course designed to address the Earth and Space Science portions of the New Jersey</w:t>
      </w:r>
      <w:r>
        <w:rPr>
          <w:rFonts w:eastAsia="Times New Roman" w:cs="Calibri"/>
          <w:sz w:val="24"/>
          <w:szCs w:val="24"/>
        </w:rPr>
        <w:t xml:space="preserve"> </w:t>
      </w:r>
      <w:r w:rsidRPr="00B956C5">
        <w:rPr>
          <w:rFonts w:eastAsia="Times New Roman" w:cs="Calibri"/>
          <w:sz w:val="24"/>
          <w:szCs w:val="24"/>
        </w:rPr>
        <w:t xml:space="preserve">Student Learning Standards. The Earth, Solar System, and Beyond will assist with the development of inquiry-based scientific practice skills through comprehensive emphasis on the unifying concepts of Earth &amp; Space Science. This course demonstrates how the interconnectedness across and within the Earth’s surface influence the geosphere, hydrosphere, and atmosphere. Through the study of the Earth’s interior, surface, and atmosphere the students will begin to understand how the Earth was created and how it interacts with other astronomical objects. Particular emphasis is placed on the utilization of small group activities, laboratory (engineering) tasks, and multimedia educational technologies. Concepts emphasized include the Formation of the Solar System and the Earth, the Earth’s Chemistry, the Geosphere, Hydrosphere, Atmosphere, and Human Activity on Earth and the Exploration of Space. </w:t>
      </w:r>
    </w:p>
    <w:p w14:paraId="3FF24027" w14:textId="77777777" w:rsidR="00947C8D" w:rsidRPr="00D662BF" w:rsidRDefault="00947C8D" w:rsidP="00947C8D">
      <w:pPr>
        <w:tabs>
          <w:tab w:val="left" w:pos="360"/>
        </w:tabs>
        <w:rPr>
          <w:b/>
          <w:bCs/>
          <w:sz w:val="24"/>
          <w:szCs w:val="24"/>
        </w:rPr>
      </w:pPr>
    </w:p>
    <w:p w14:paraId="6B7E548F" w14:textId="4BD70795" w:rsidR="007A753D" w:rsidRPr="00D662BF" w:rsidRDefault="007A753D" w:rsidP="00D662BF">
      <w:pPr>
        <w:pStyle w:val="ListParagraph"/>
        <w:numPr>
          <w:ilvl w:val="0"/>
          <w:numId w:val="40"/>
        </w:numPr>
        <w:tabs>
          <w:tab w:val="left" w:pos="360"/>
        </w:tabs>
        <w:rPr>
          <w:b/>
          <w:bCs/>
          <w:sz w:val="24"/>
          <w:szCs w:val="24"/>
        </w:rPr>
      </w:pPr>
      <w:r w:rsidRPr="00D662BF">
        <w:rPr>
          <w:rFonts w:cs="Calibri"/>
          <w:b/>
          <w:bCs/>
          <w:color w:val="000000"/>
          <w:sz w:val="24"/>
          <w:szCs w:val="24"/>
        </w:rPr>
        <w:t>Course Instructional Materials:</w:t>
      </w:r>
    </w:p>
    <w:p w14:paraId="420A72D8" w14:textId="34B93C76" w:rsidR="007A753D" w:rsidRPr="00961A68" w:rsidRDefault="00682117" w:rsidP="00961A68">
      <w:pPr>
        <w:tabs>
          <w:tab w:val="left" w:pos="360"/>
        </w:tabs>
        <w:ind w:left="360"/>
        <w:rPr>
          <w:sz w:val="24"/>
          <w:szCs w:val="24"/>
        </w:rPr>
      </w:pPr>
      <w:r>
        <w:rPr>
          <w:rFonts w:ascii="Calibri" w:hAnsi="Calibri" w:cs="Calibri"/>
          <w:color w:val="000000"/>
          <w:sz w:val="24"/>
          <w:szCs w:val="24"/>
        </w:rPr>
        <w:t>E</w:t>
      </w:r>
      <w:r w:rsidR="00B956C5">
        <w:rPr>
          <w:rFonts w:ascii="Calibri" w:hAnsi="Calibri" w:cs="Calibri"/>
          <w:color w:val="000000"/>
          <w:sz w:val="24"/>
          <w:szCs w:val="24"/>
        </w:rPr>
        <w:t>arth Science</w:t>
      </w:r>
      <w:r w:rsidR="00D6741E">
        <w:rPr>
          <w:rFonts w:ascii="Calibri" w:hAnsi="Calibri" w:cs="Calibri"/>
          <w:color w:val="000000"/>
          <w:sz w:val="24"/>
          <w:szCs w:val="24"/>
        </w:rPr>
        <w:t xml:space="preserve">, </w:t>
      </w:r>
      <w:r w:rsidR="005573B0">
        <w:rPr>
          <w:rFonts w:ascii="Calibri" w:hAnsi="Calibri" w:cs="Calibri"/>
          <w:color w:val="000000"/>
          <w:sz w:val="24"/>
          <w:szCs w:val="24"/>
        </w:rPr>
        <w:t>Pearson</w:t>
      </w:r>
    </w:p>
    <w:p w14:paraId="55C0A81F" w14:textId="77777777" w:rsidR="000B208E" w:rsidRPr="00D662BF" w:rsidRDefault="000B208E" w:rsidP="00002731">
      <w:pPr>
        <w:tabs>
          <w:tab w:val="left" w:pos="1080"/>
        </w:tabs>
        <w:ind w:left="360"/>
        <w:rPr>
          <w:b/>
          <w:bCs/>
          <w:sz w:val="24"/>
          <w:szCs w:val="24"/>
        </w:rPr>
      </w:pPr>
    </w:p>
    <w:p w14:paraId="684A36FA" w14:textId="4FF49527" w:rsidR="009E5FAC" w:rsidRPr="00D662BF" w:rsidRDefault="00BD7826" w:rsidP="00D662BF">
      <w:pPr>
        <w:pStyle w:val="ListParagraph"/>
        <w:numPr>
          <w:ilvl w:val="0"/>
          <w:numId w:val="40"/>
        </w:numPr>
        <w:rPr>
          <w:b/>
          <w:bCs/>
        </w:rPr>
      </w:pPr>
      <w:r w:rsidRPr="00D662BF">
        <w:rPr>
          <w:b/>
          <w:bCs/>
          <w:sz w:val="24"/>
          <w:szCs w:val="24"/>
        </w:rPr>
        <w:t>Standards Guiding Instruction</w:t>
      </w:r>
      <w:r w:rsidR="009E5FAC" w:rsidRPr="00D662BF">
        <w:rPr>
          <w:b/>
          <w:bCs/>
        </w:rPr>
        <w:t xml:space="preserve"> </w:t>
      </w:r>
    </w:p>
    <w:p w14:paraId="3E3F60C0" w14:textId="01C11B8A" w:rsidR="009E5FAC" w:rsidRDefault="009E5FAC" w:rsidP="009E5FAC">
      <w:r>
        <w:t>New Jersey Student Learning Standards for Science</w:t>
      </w:r>
    </w:p>
    <w:p w14:paraId="206F6AD6" w14:textId="77777777" w:rsidR="009E5FAC" w:rsidRDefault="009E5FAC" w:rsidP="009E5FAC">
      <w:hyperlink r:id="rId12" w:history="1">
        <w:r w:rsidRPr="00B30348">
          <w:rPr>
            <w:rStyle w:val="Hyperlink"/>
          </w:rPr>
          <w:t>https://www.nj.gov/education/standards/science/Index.shtml</w:t>
        </w:r>
      </w:hyperlink>
    </w:p>
    <w:p w14:paraId="6D625959" w14:textId="77777777" w:rsidR="009E5FAC" w:rsidRDefault="009E5FAC" w:rsidP="009E5FAC">
      <w:r>
        <w:t>New Jersey Student Learning Standards for English Language Arts</w:t>
      </w:r>
    </w:p>
    <w:p w14:paraId="710AA1B7" w14:textId="77777777" w:rsidR="009E5FAC" w:rsidRDefault="009E5FAC" w:rsidP="009E5FAC">
      <w:hyperlink r:id="rId13" w:history="1">
        <w:r w:rsidRPr="00B30348">
          <w:rPr>
            <w:rStyle w:val="Hyperlink"/>
          </w:rPr>
          <w:t>https://www.nj.gov/education/standards/ela/Index.shtml</w:t>
        </w:r>
      </w:hyperlink>
    </w:p>
    <w:p w14:paraId="3FEAE962" w14:textId="77777777" w:rsidR="009E5FAC" w:rsidRDefault="009E5FAC" w:rsidP="009E5FAC">
      <w:r>
        <w:t>New Jersey Student Learning Standards for Mathematics</w:t>
      </w:r>
    </w:p>
    <w:p w14:paraId="320830D7" w14:textId="77777777" w:rsidR="009E5FAC" w:rsidRDefault="009E5FAC" w:rsidP="009E5FAC">
      <w:hyperlink r:id="rId14" w:history="1">
        <w:r w:rsidRPr="00B30348">
          <w:rPr>
            <w:rStyle w:val="Hyperlink"/>
          </w:rPr>
          <w:t>https://www.nj.gov/education/standards/math/Index.shtml</w:t>
        </w:r>
      </w:hyperlink>
    </w:p>
    <w:p w14:paraId="7F467295" w14:textId="77777777" w:rsidR="009E5FAC" w:rsidRDefault="009E5FAC" w:rsidP="009E5FAC">
      <w:r>
        <w:t>New Jersey Student Learning Standards for Social Studies</w:t>
      </w:r>
    </w:p>
    <w:p w14:paraId="4CA6AD19" w14:textId="77777777" w:rsidR="009E5FAC" w:rsidRDefault="009E5FAC" w:rsidP="009E5FAC">
      <w:hyperlink r:id="rId15" w:history="1">
        <w:r w:rsidRPr="00B30348">
          <w:rPr>
            <w:rStyle w:val="Hyperlink"/>
          </w:rPr>
          <w:t>https://www.nj.gov/education/standards/socst/index.shtml</w:t>
        </w:r>
      </w:hyperlink>
    </w:p>
    <w:p w14:paraId="314B725F" w14:textId="77777777" w:rsidR="009E5FAC" w:rsidRDefault="009E5FAC" w:rsidP="009E5FAC">
      <w:r>
        <w:t>New Jersey Student Learning Standards for Computer Science and Design Thinking</w:t>
      </w:r>
    </w:p>
    <w:p w14:paraId="366F7BA2" w14:textId="77777777" w:rsidR="009E5FAC" w:rsidRDefault="009E5FAC" w:rsidP="009E5FAC">
      <w:hyperlink r:id="rId16" w:history="1">
        <w:r w:rsidRPr="00B30348">
          <w:rPr>
            <w:rStyle w:val="Hyperlink"/>
          </w:rPr>
          <w:t>https://www.nj.gov/education/standards/compsci/Index.shtml</w:t>
        </w:r>
      </w:hyperlink>
    </w:p>
    <w:p w14:paraId="6DE6B683" w14:textId="77777777" w:rsidR="009E5FAC" w:rsidRDefault="009E5FAC" w:rsidP="009E5FAC">
      <w:r>
        <w:t>New Jersey Student Learning Standards for Career Readiness, Life Literacies &amp; Key Skills</w:t>
      </w:r>
    </w:p>
    <w:p w14:paraId="46F4B66D" w14:textId="77777777" w:rsidR="009E5FAC" w:rsidRDefault="009E5FAC" w:rsidP="009E5FAC">
      <w:hyperlink r:id="rId17" w:history="1">
        <w:r w:rsidRPr="00B30348">
          <w:rPr>
            <w:rStyle w:val="Hyperlink"/>
          </w:rPr>
          <w:t>https://www.nj.gov/education/standards/clicks/index.shtml</w:t>
        </w:r>
      </w:hyperlink>
    </w:p>
    <w:p w14:paraId="49CCA293" w14:textId="4922268F" w:rsidR="000239D3" w:rsidRDefault="000239D3" w:rsidP="00072DD3">
      <w:pPr>
        <w:tabs>
          <w:tab w:val="left" w:pos="720"/>
        </w:tabs>
        <w:rPr>
          <w:rFonts w:ascii="Calibri" w:eastAsia="Times New Roman" w:hAnsi="Calibri" w:cs="Times New Roman"/>
          <w:sz w:val="24"/>
          <w:szCs w:val="24"/>
        </w:rPr>
      </w:pPr>
    </w:p>
    <w:p w14:paraId="2814A449" w14:textId="58293565" w:rsidR="00BD7826" w:rsidRPr="00D662BF" w:rsidRDefault="00947C8D" w:rsidP="00D662BF">
      <w:pPr>
        <w:numPr>
          <w:ilvl w:val="0"/>
          <w:numId w:val="40"/>
        </w:numPr>
        <w:tabs>
          <w:tab w:val="left" w:pos="360"/>
        </w:tabs>
        <w:ind w:left="360" w:hanging="360"/>
        <w:rPr>
          <w:b/>
          <w:bCs/>
          <w:sz w:val="24"/>
          <w:szCs w:val="24"/>
        </w:rPr>
      </w:pPr>
      <w:r w:rsidRPr="00D662BF">
        <w:rPr>
          <w:b/>
          <w:bCs/>
          <w:sz w:val="24"/>
          <w:szCs w:val="24"/>
        </w:rPr>
        <w:t>P</w:t>
      </w:r>
      <w:r w:rsidR="006E21A5" w:rsidRPr="00D662BF">
        <w:rPr>
          <w:b/>
          <w:bCs/>
          <w:sz w:val="24"/>
          <w:szCs w:val="24"/>
        </w:rPr>
        <w:t>acing Guide</w:t>
      </w:r>
    </w:p>
    <w:tbl>
      <w:tblPr>
        <w:tblW w:w="9378"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1713"/>
        <w:gridCol w:w="4961"/>
      </w:tblGrid>
      <w:tr w:rsidR="00FD2283" w:rsidRPr="00A946D2" w14:paraId="2E8465EE" w14:textId="77777777" w:rsidTr="00FD2283">
        <w:trPr>
          <w:trHeight w:val="584"/>
        </w:trPr>
        <w:tc>
          <w:tcPr>
            <w:tcW w:w="2704" w:type="dxa"/>
            <w:tcBorders>
              <w:top w:val="single" w:sz="4" w:space="0" w:color="auto"/>
              <w:left w:val="single" w:sz="4" w:space="0" w:color="auto"/>
              <w:bottom w:val="single" w:sz="4" w:space="0" w:color="auto"/>
              <w:right w:val="single" w:sz="4" w:space="0" w:color="auto"/>
            </w:tcBorders>
          </w:tcPr>
          <w:p w14:paraId="6AA8E024" w14:textId="77777777" w:rsidR="00FD2283" w:rsidRDefault="00FD2283" w:rsidP="00FD2283">
            <w:pPr>
              <w:tabs>
                <w:tab w:val="left" w:pos="360"/>
              </w:tabs>
              <w:jc w:val="center"/>
              <w:rPr>
                <w:sz w:val="24"/>
                <w:szCs w:val="24"/>
              </w:rPr>
            </w:pPr>
          </w:p>
          <w:p w14:paraId="03344F6D" w14:textId="6BABAC41" w:rsidR="00FD2283" w:rsidRPr="00A946D2" w:rsidRDefault="00FD2283" w:rsidP="00FD2283">
            <w:pPr>
              <w:tabs>
                <w:tab w:val="left" w:pos="360"/>
              </w:tabs>
              <w:jc w:val="center"/>
              <w:rPr>
                <w:sz w:val="24"/>
                <w:szCs w:val="24"/>
              </w:rPr>
            </w:pPr>
            <w:r>
              <w:rPr>
                <w:sz w:val="24"/>
                <w:szCs w:val="24"/>
              </w:rPr>
              <w:t>9/6/22-11/15/22</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3AEF5DAF" w14:textId="122AC9AA" w:rsidR="00FD2283" w:rsidRPr="00A946D2" w:rsidRDefault="00FD2283" w:rsidP="00FD2283">
            <w:pPr>
              <w:tabs>
                <w:tab w:val="left" w:pos="360"/>
              </w:tabs>
              <w:jc w:val="center"/>
              <w:rPr>
                <w:sz w:val="24"/>
                <w:szCs w:val="24"/>
              </w:rPr>
            </w:pPr>
          </w:p>
          <w:p w14:paraId="0BE9E243" w14:textId="77777777" w:rsidR="00FD2283" w:rsidRPr="00A946D2" w:rsidRDefault="00FD2283" w:rsidP="00FD2283">
            <w:pPr>
              <w:tabs>
                <w:tab w:val="left" w:pos="360"/>
              </w:tabs>
              <w:jc w:val="center"/>
              <w:rPr>
                <w:sz w:val="24"/>
                <w:szCs w:val="24"/>
              </w:rPr>
            </w:pPr>
            <w:r w:rsidRPr="00A946D2">
              <w:rPr>
                <w:sz w:val="24"/>
                <w:szCs w:val="24"/>
              </w:rPr>
              <w:t>First</w:t>
            </w:r>
          </w:p>
          <w:p w14:paraId="76B72192" w14:textId="4E8DA6AC" w:rsidR="00FD2283" w:rsidRPr="00D662BF" w:rsidRDefault="00FD2283" w:rsidP="00D662BF">
            <w:pPr>
              <w:tabs>
                <w:tab w:val="left" w:pos="360"/>
              </w:tabs>
              <w:jc w:val="center"/>
              <w:rPr>
                <w:sz w:val="24"/>
                <w:szCs w:val="24"/>
              </w:rPr>
            </w:pPr>
            <w:r w:rsidRPr="00A946D2">
              <w:rPr>
                <w:sz w:val="24"/>
                <w:szCs w:val="24"/>
              </w:rPr>
              <w:t>Marking Period</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931862C" w14:textId="38C25F91" w:rsidR="00FD2283" w:rsidRPr="000064B7" w:rsidRDefault="00FD2283" w:rsidP="00FD2283">
            <w:pPr>
              <w:tabs>
                <w:tab w:val="left" w:pos="360"/>
              </w:tabs>
              <w:rPr>
                <w:sz w:val="24"/>
                <w:szCs w:val="24"/>
              </w:rPr>
            </w:pPr>
            <w:r w:rsidRPr="00F029DB">
              <w:rPr>
                <w:sz w:val="24"/>
                <w:szCs w:val="24"/>
              </w:rPr>
              <w:t xml:space="preserve">Unit </w:t>
            </w:r>
            <w:r>
              <w:rPr>
                <w:sz w:val="24"/>
                <w:szCs w:val="24"/>
              </w:rPr>
              <w:t xml:space="preserve">1: </w:t>
            </w:r>
            <w:r w:rsidRPr="000064B7">
              <w:rPr>
                <w:sz w:val="24"/>
                <w:szCs w:val="24"/>
              </w:rPr>
              <w:t>Formation of the Earth and the Solar System</w:t>
            </w:r>
          </w:p>
          <w:p w14:paraId="13834896" w14:textId="2ABABB8E" w:rsidR="00FD2283" w:rsidRPr="00A946D2" w:rsidRDefault="00FD2283" w:rsidP="00FD2283">
            <w:pPr>
              <w:tabs>
                <w:tab w:val="left" w:pos="360"/>
              </w:tabs>
              <w:rPr>
                <w:sz w:val="24"/>
                <w:szCs w:val="24"/>
              </w:rPr>
            </w:pPr>
            <w:r>
              <w:rPr>
                <w:sz w:val="24"/>
                <w:szCs w:val="24"/>
              </w:rPr>
              <w:t xml:space="preserve">Unit 2: </w:t>
            </w:r>
            <w:r w:rsidRPr="005573B0">
              <w:rPr>
                <w:sz w:val="24"/>
                <w:szCs w:val="24"/>
              </w:rPr>
              <w:t>The Geosphere</w:t>
            </w:r>
          </w:p>
        </w:tc>
      </w:tr>
      <w:tr w:rsidR="00FD2283" w:rsidRPr="00A946D2" w14:paraId="31538FE7" w14:textId="77777777" w:rsidTr="00FD2283">
        <w:tc>
          <w:tcPr>
            <w:tcW w:w="2704" w:type="dxa"/>
            <w:tcBorders>
              <w:top w:val="single" w:sz="4" w:space="0" w:color="auto"/>
              <w:left w:val="single" w:sz="4" w:space="0" w:color="auto"/>
              <w:bottom w:val="single" w:sz="4" w:space="0" w:color="auto"/>
              <w:right w:val="single" w:sz="4" w:space="0" w:color="auto"/>
            </w:tcBorders>
          </w:tcPr>
          <w:p w14:paraId="33FC1806" w14:textId="77777777" w:rsidR="00FD2283" w:rsidRDefault="00FD2283" w:rsidP="00FD2283">
            <w:pPr>
              <w:tabs>
                <w:tab w:val="left" w:pos="360"/>
              </w:tabs>
              <w:jc w:val="center"/>
              <w:rPr>
                <w:sz w:val="24"/>
                <w:szCs w:val="24"/>
              </w:rPr>
            </w:pPr>
          </w:p>
          <w:p w14:paraId="54FE319B" w14:textId="693272EC" w:rsidR="00FD2283" w:rsidRPr="00A946D2" w:rsidRDefault="00FD2283" w:rsidP="00FD2283">
            <w:pPr>
              <w:tabs>
                <w:tab w:val="left" w:pos="360"/>
              </w:tabs>
              <w:jc w:val="center"/>
              <w:rPr>
                <w:sz w:val="24"/>
                <w:szCs w:val="24"/>
              </w:rPr>
            </w:pPr>
            <w:r>
              <w:rPr>
                <w:sz w:val="24"/>
                <w:szCs w:val="24"/>
              </w:rPr>
              <w:t>11/16/22-1/31/23</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28472139" w14:textId="770E91E4" w:rsidR="00FD2283" w:rsidRPr="00A946D2" w:rsidRDefault="00FD2283" w:rsidP="00FD2283">
            <w:pPr>
              <w:tabs>
                <w:tab w:val="left" w:pos="360"/>
              </w:tabs>
              <w:jc w:val="center"/>
              <w:rPr>
                <w:sz w:val="24"/>
                <w:szCs w:val="24"/>
              </w:rPr>
            </w:pPr>
          </w:p>
          <w:p w14:paraId="4BD23F4E" w14:textId="77777777" w:rsidR="00FD2283" w:rsidRPr="00A946D2" w:rsidRDefault="00FD2283" w:rsidP="00FD2283">
            <w:pPr>
              <w:tabs>
                <w:tab w:val="left" w:pos="360"/>
              </w:tabs>
              <w:jc w:val="center"/>
              <w:rPr>
                <w:sz w:val="24"/>
                <w:szCs w:val="24"/>
              </w:rPr>
            </w:pPr>
            <w:r w:rsidRPr="00A946D2">
              <w:rPr>
                <w:sz w:val="24"/>
                <w:szCs w:val="24"/>
              </w:rPr>
              <w:t>Second</w:t>
            </w:r>
          </w:p>
          <w:p w14:paraId="57C877C3" w14:textId="4FF0626F" w:rsidR="00FD2283" w:rsidRPr="00D662BF" w:rsidRDefault="00FD2283" w:rsidP="00D662BF">
            <w:pPr>
              <w:tabs>
                <w:tab w:val="left" w:pos="360"/>
              </w:tabs>
              <w:jc w:val="center"/>
              <w:rPr>
                <w:sz w:val="24"/>
                <w:szCs w:val="24"/>
              </w:rPr>
            </w:pPr>
            <w:r w:rsidRPr="00A946D2">
              <w:rPr>
                <w:sz w:val="24"/>
                <w:szCs w:val="24"/>
              </w:rPr>
              <w:t>Marking Period</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EB4CE5C" w14:textId="6C5E4379" w:rsidR="00FD2283" w:rsidRPr="00F029DB" w:rsidRDefault="00FD2283" w:rsidP="00FD2283">
            <w:pPr>
              <w:tabs>
                <w:tab w:val="left" w:pos="360"/>
              </w:tabs>
              <w:rPr>
                <w:sz w:val="24"/>
                <w:szCs w:val="24"/>
              </w:rPr>
            </w:pPr>
            <w:r>
              <w:rPr>
                <w:sz w:val="24"/>
                <w:szCs w:val="24"/>
              </w:rPr>
              <w:t xml:space="preserve">Unit 3: </w:t>
            </w:r>
            <w:r w:rsidRPr="005573B0">
              <w:rPr>
                <w:sz w:val="24"/>
                <w:szCs w:val="24"/>
              </w:rPr>
              <w:t>The Atmosphere and Hydrosphere</w:t>
            </w:r>
          </w:p>
          <w:p w14:paraId="08514869" w14:textId="0DE0A51B" w:rsidR="00FD2283" w:rsidRPr="00A946D2" w:rsidRDefault="00FD2283" w:rsidP="00FD2283">
            <w:pPr>
              <w:tabs>
                <w:tab w:val="left" w:pos="360"/>
              </w:tabs>
              <w:rPr>
                <w:sz w:val="24"/>
                <w:szCs w:val="24"/>
              </w:rPr>
            </w:pPr>
          </w:p>
        </w:tc>
      </w:tr>
      <w:tr w:rsidR="00FD2283" w:rsidRPr="00A946D2" w14:paraId="70B6F243" w14:textId="77777777" w:rsidTr="00FD2283">
        <w:tc>
          <w:tcPr>
            <w:tcW w:w="2704" w:type="dxa"/>
            <w:tcBorders>
              <w:top w:val="single" w:sz="4" w:space="0" w:color="auto"/>
              <w:left w:val="single" w:sz="4" w:space="0" w:color="auto"/>
              <w:bottom w:val="single" w:sz="4" w:space="0" w:color="auto"/>
              <w:right w:val="single" w:sz="4" w:space="0" w:color="auto"/>
            </w:tcBorders>
          </w:tcPr>
          <w:p w14:paraId="4F6FB248" w14:textId="77777777" w:rsidR="00FD2283" w:rsidRDefault="00FD2283" w:rsidP="00FD2283">
            <w:pPr>
              <w:tabs>
                <w:tab w:val="left" w:pos="360"/>
              </w:tabs>
              <w:jc w:val="center"/>
              <w:rPr>
                <w:sz w:val="24"/>
                <w:szCs w:val="24"/>
              </w:rPr>
            </w:pPr>
          </w:p>
          <w:p w14:paraId="472061E1" w14:textId="0B17593D" w:rsidR="00FD2283" w:rsidRPr="00A946D2" w:rsidRDefault="00FD2283" w:rsidP="00FD2283">
            <w:pPr>
              <w:tabs>
                <w:tab w:val="left" w:pos="360"/>
              </w:tabs>
              <w:jc w:val="center"/>
              <w:rPr>
                <w:sz w:val="24"/>
                <w:szCs w:val="24"/>
              </w:rPr>
            </w:pPr>
            <w:r>
              <w:rPr>
                <w:sz w:val="24"/>
                <w:szCs w:val="24"/>
              </w:rPr>
              <w:t>2/1/23-4/5/23</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6DC46DC0" w14:textId="66BBF4E4" w:rsidR="00FD2283" w:rsidRPr="00A946D2" w:rsidRDefault="00FD2283" w:rsidP="00FD2283">
            <w:pPr>
              <w:tabs>
                <w:tab w:val="left" w:pos="360"/>
              </w:tabs>
              <w:jc w:val="center"/>
              <w:rPr>
                <w:sz w:val="24"/>
                <w:szCs w:val="24"/>
              </w:rPr>
            </w:pPr>
          </w:p>
          <w:p w14:paraId="23B360FA" w14:textId="77777777" w:rsidR="00FD2283" w:rsidRPr="00A946D2" w:rsidRDefault="00FD2283" w:rsidP="00FD2283">
            <w:pPr>
              <w:tabs>
                <w:tab w:val="left" w:pos="360"/>
              </w:tabs>
              <w:jc w:val="center"/>
              <w:rPr>
                <w:sz w:val="24"/>
                <w:szCs w:val="24"/>
              </w:rPr>
            </w:pPr>
            <w:r w:rsidRPr="00A946D2">
              <w:rPr>
                <w:sz w:val="24"/>
                <w:szCs w:val="24"/>
              </w:rPr>
              <w:t>Third</w:t>
            </w:r>
          </w:p>
          <w:p w14:paraId="0843293F" w14:textId="53FD260C" w:rsidR="00FD2283" w:rsidRPr="00D662BF" w:rsidRDefault="00FD2283" w:rsidP="00D662BF">
            <w:pPr>
              <w:tabs>
                <w:tab w:val="left" w:pos="360"/>
              </w:tabs>
              <w:jc w:val="center"/>
              <w:rPr>
                <w:sz w:val="24"/>
                <w:szCs w:val="24"/>
              </w:rPr>
            </w:pPr>
            <w:r w:rsidRPr="00A946D2">
              <w:rPr>
                <w:sz w:val="24"/>
                <w:szCs w:val="24"/>
              </w:rPr>
              <w:t>Marking Period</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8651960" w14:textId="77777777" w:rsidR="00FD2283" w:rsidRPr="000064B7" w:rsidRDefault="00FD2283" w:rsidP="00FD2283">
            <w:pPr>
              <w:tabs>
                <w:tab w:val="left" w:pos="360"/>
              </w:tabs>
              <w:rPr>
                <w:sz w:val="24"/>
                <w:szCs w:val="24"/>
              </w:rPr>
            </w:pPr>
            <w:r w:rsidRPr="00F029DB">
              <w:rPr>
                <w:sz w:val="24"/>
                <w:szCs w:val="24"/>
              </w:rPr>
              <w:t xml:space="preserve">Unit </w:t>
            </w:r>
            <w:r>
              <w:rPr>
                <w:sz w:val="24"/>
                <w:szCs w:val="24"/>
              </w:rPr>
              <w:t xml:space="preserve">1: </w:t>
            </w:r>
            <w:r w:rsidRPr="000064B7">
              <w:rPr>
                <w:sz w:val="24"/>
                <w:szCs w:val="24"/>
              </w:rPr>
              <w:t>Formation of the Earth and the Solar System</w:t>
            </w:r>
          </w:p>
          <w:p w14:paraId="10C500A8" w14:textId="398B5D54" w:rsidR="00FD2283" w:rsidRPr="00A946D2" w:rsidRDefault="00FD2283" w:rsidP="00FD2283">
            <w:pPr>
              <w:tabs>
                <w:tab w:val="left" w:pos="360"/>
              </w:tabs>
              <w:rPr>
                <w:sz w:val="24"/>
                <w:szCs w:val="24"/>
              </w:rPr>
            </w:pPr>
            <w:r>
              <w:rPr>
                <w:sz w:val="24"/>
                <w:szCs w:val="24"/>
              </w:rPr>
              <w:t xml:space="preserve">Unit 2: </w:t>
            </w:r>
            <w:r w:rsidRPr="005573B0">
              <w:rPr>
                <w:sz w:val="24"/>
                <w:szCs w:val="24"/>
              </w:rPr>
              <w:t>The Geosphere</w:t>
            </w:r>
          </w:p>
        </w:tc>
      </w:tr>
      <w:tr w:rsidR="00FD2283" w:rsidRPr="00A946D2" w14:paraId="430092B9" w14:textId="77777777" w:rsidTr="00FD2283">
        <w:tc>
          <w:tcPr>
            <w:tcW w:w="2704" w:type="dxa"/>
            <w:tcBorders>
              <w:top w:val="single" w:sz="4" w:space="0" w:color="auto"/>
              <w:left w:val="single" w:sz="4" w:space="0" w:color="auto"/>
              <w:bottom w:val="single" w:sz="4" w:space="0" w:color="auto"/>
              <w:right w:val="single" w:sz="4" w:space="0" w:color="auto"/>
            </w:tcBorders>
          </w:tcPr>
          <w:p w14:paraId="19C72DEA" w14:textId="77777777" w:rsidR="00FD2283" w:rsidRDefault="00FD2283" w:rsidP="00FD2283">
            <w:pPr>
              <w:tabs>
                <w:tab w:val="left" w:pos="360"/>
              </w:tabs>
              <w:jc w:val="center"/>
              <w:rPr>
                <w:sz w:val="24"/>
                <w:szCs w:val="24"/>
              </w:rPr>
            </w:pPr>
          </w:p>
          <w:p w14:paraId="0260A3AB" w14:textId="093918B1" w:rsidR="00FD2283" w:rsidRPr="00A946D2" w:rsidRDefault="00FD2283" w:rsidP="00FD2283">
            <w:pPr>
              <w:tabs>
                <w:tab w:val="left" w:pos="360"/>
              </w:tabs>
              <w:jc w:val="center"/>
              <w:rPr>
                <w:sz w:val="24"/>
                <w:szCs w:val="24"/>
              </w:rPr>
            </w:pPr>
            <w:r>
              <w:rPr>
                <w:sz w:val="24"/>
                <w:szCs w:val="24"/>
              </w:rPr>
              <w:t>4/17/23-6/22/23</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3578EE40" w14:textId="72B3E9CF" w:rsidR="00FD2283" w:rsidRPr="00A946D2" w:rsidRDefault="00FD2283" w:rsidP="00FD2283">
            <w:pPr>
              <w:tabs>
                <w:tab w:val="left" w:pos="360"/>
              </w:tabs>
              <w:jc w:val="center"/>
              <w:rPr>
                <w:sz w:val="24"/>
                <w:szCs w:val="24"/>
              </w:rPr>
            </w:pPr>
          </w:p>
          <w:p w14:paraId="7B58D51A" w14:textId="77777777" w:rsidR="00FD2283" w:rsidRPr="00A946D2" w:rsidRDefault="00FD2283" w:rsidP="00FD2283">
            <w:pPr>
              <w:tabs>
                <w:tab w:val="left" w:pos="360"/>
              </w:tabs>
              <w:jc w:val="center"/>
              <w:rPr>
                <w:sz w:val="24"/>
                <w:szCs w:val="24"/>
              </w:rPr>
            </w:pPr>
            <w:r w:rsidRPr="00A946D2">
              <w:rPr>
                <w:sz w:val="24"/>
                <w:szCs w:val="24"/>
              </w:rPr>
              <w:t>Fourth</w:t>
            </w:r>
          </w:p>
          <w:p w14:paraId="4C63B353" w14:textId="31A97F84" w:rsidR="00FD2283" w:rsidRPr="00D662BF" w:rsidRDefault="00FD2283" w:rsidP="00D662BF">
            <w:pPr>
              <w:tabs>
                <w:tab w:val="left" w:pos="360"/>
              </w:tabs>
              <w:jc w:val="center"/>
              <w:rPr>
                <w:sz w:val="24"/>
                <w:szCs w:val="24"/>
              </w:rPr>
            </w:pPr>
            <w:r w:rsidRPr="00A946D2">
              <w:rPr>
                <w:sz w:val="24"/>
                <w:szCs w:val="24"/>
              </w:rPr>
              <w:t>Marking Period</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EB6ED9D" w14:textId="77777777" w:rsidR="00FD2283" w:rsidRPr="00F029DB" w:rsidRDefault="00FD2283" w:rsidP="00FD2283">
            <w:pPr>
              <w:tabs>
                <w:tab w:val="left" w:pos="360"/>
              </w:tabs>
              <w:rPr>
                <w:sz w:val="24"/>
                <w:szCs w:val="24"/>
              </w:rPr>
            </w:pPr>
            <w:r>
              <w:rPr>
                <w:sz w:val="24"/>
                <w:szCs w:val="24"/>
              </w:rPr>
              <w:t xml:space="preserve">Unit 3: </w:t>
            </w:r>
            <w:r w:rsidRPr="005573B0">
              <w:rPr>
                <w:sz w:val="24"/>
                <w:szCs w:val="24"/>
              </w:rPr>
              <w:t>The Atmosphere and Hydrosphere</w:t>
            </w:r>
          </w:p>
          <w:p w14:paraId="5425A38F" w14:textId="77777777" w:rsidR="00FD2283" w:rsidRPr="00A946D2" w:rsidRDefault="00FD2283" w:rsidP="00FD2283">
            <w:pPr>
              <w:tabs>
                <w:tab w:val="left" w:pos="360"/>
              </w:tabs>
              <w:rPr>
                <w:sz w:val="24"/>
                <w:szCs w:val="24"/>
              </w:rPr>
            </w:pPr>
          </w:p>
        </w:tc>
      </w:tr>
    </w:tbl>
    <w:p w14:paraId="347B66E8" w14:textId="0D088D6D" w:rsidR="00761EB0" w:rsidRDefault="00761EB0" w:rsidP="00761EB0">
      <w:pPr>
        <w:rPr>
          <w:sz w:val="24"/>
          <w:szCs w:val="24"/>
        </w:rPr>
      </w:pPr>
    </w:p>
    <w:p w14:paraId="1C264526" w14:textId="32EF3A55" w:rsidR="00D662BF" w:rsidRPr="00D662BF" w:rsidRDefault="00D662BF" w:rsidP="00D662BF">
      <w:pPr>
        <w:pStyle w:val="ListParagraph"/>
        <w:numPr>
          <w:ilvl w:val="0"/>
          <w:numId w:val="40"/>
        </w:numPr>
        <w:rPr>
          <w:b/>
          <w:bCs/>
          <w:sz w:val="24"/>
          <w:szCs w:val="24"/>
        </w:rPr>
      </w:pPr>
      <w:r w:rsidRPr="00D662BF">
        <w:rPr>
          <w:b/>
          <w:bCs/>
          <w:sz w:val="24"/>
          <w:szCs w:val="24"/>
        </w:rPr>
        <w:t>Curriculum</w:t>
      </w:r>
    </w:p>
    <w:sectPr w:rsidR="00D662BF" w:rsidRPr="00D662BF" w:rsidSect="004A54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7AA34" w14:textId="77777777" w:rsidR="000746EC" w:rsidRDefault="000746EC" w:rsidP="00625DAE">
      <w:r>
        <w:separator/>
      </w:r>
    </w:p>
  </w:endnote>
  <w:endnote w:type="continuationSeparator" w:id="0">
    <w:p w14:paraId="40C0545E" w14:textId="77777777" w:rsidR="000746EC" w:rsidRDefault="000746EC"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9575" w14:textId="77777777" w:rsidR="000746EC" w:rsidRDefault="000746EC" w:rsidP="00625DAE">
      <w:r>
        <w:separator/>
      </w:r>
    </w:p>
  </w:footnote>
  <w:footnote w:type="continuationSeparator" w:id="0">
    <w:p w14:paraId="1B3D6D05" w14:textId="77777777" w:rsidR="000746EC" w:rsidRDefault="000746EC"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7C9"/>
    <w:multiLevelType w:val="hybridMultilevel"/>
    <w:tmpl w:val="6C3E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1041A"/>
    <w:multiLevelType w:val="hybridMultilevel"/>
    <w:tmpl w:val="1090AA54"/>
    <w:lvl w:ilvl="0" w:tplc="A97C75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A476E"/>
    <w:multiLevelType w:val="hybridMultilevel"/>
    <w:tmpl w:val="F61A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83A17"/>
    <w:multiLevelType w:val="hybridMultilevel"/>
    <w:tmpl w:val="5C2094A0"/>
    <w:lvl w:ilvl="0" w:tplc="A81CCF3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546C0"/>
    <w:multiLevelType w:val="multilevel"/>
    <w:tmpl w:val="ED9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9506E6"/>
    <w:multiLevelType w:val="hybridMultilevel"/>
    <w:tmpl w:val="104EFC16"/>
    <w:lvl w:ilvl="0" w:tplc="74B4AE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3228E"/>
    <w:multiLevelType w:val="hybridMultilevel"/>
    <w:tmpl w:val="9DD0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B94936"/>
    <w:multiLevelType w:val="hybridMultilevel"/>
    <w:tmpl w:val="A376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665559">
    <w:abstractNumId w:val="6"/>
  </w:num>
  <w:num w:numId="2" w16cid:durableId="1636980946">
    <w:abstractNumId w:val="37"/>
  </w:num>
  <w:num w:numId="3" w16cid:durableId="907158019">
    <w:abstractNumId w:val="33"/>
  </w:num>
  <w:num w:numId="4" w16cid:durableId="898829116">
    <w:abstractNumId w:val="3"/>
  </w:num>
  <w:num w:numId="5" w16cid:durableId="136536801">
    <w:abstractNumId w:val="31"/>
  </w:num>
  <w:num w:numId="6" w16cid:durableId="554316481">
    <w:abstractNumId w:val="14"/>
  </w:num>
  <w:num w:numId="7" w16cid:durableId="158010060">
    <w:abstractNumId w:val="12"/>
  </w:num>
  <w:num w:numId="8" w16cid:durableId="1222014961">
    <w:abstractNumId w:val="20"/>
  </w:num>
  <w:num w:numId="9" w16cid:durableId="242376908">
    <w:abstractNumId w:val="2"/>
  </w:num>
  <w:num w:numId="10" w16cid:durableId="1327898856">
    <w:abstractNumId w:val="29"/>
  </w:num>
  <w:num w:numId="11" w16cid:durableId="1663506346">
    <w:abstractNumId w:val="8"/>
  </w:num>
  <w:num w:numId="12" w16cid:durableId="2066220989">
    <w:abstractNumId w:val="5"/>
  </w:num>
  <w:num w:numId="13" w16cid:durableId="1993828245">
    <w:abstractNumId w:val="23"/>
  </w:num>
  <w:num w:numId="14" w16cid:durableId="1951278342">
    <w:abstractNumId w:val="17"/>
  </w:num>
  <w:num w:numId="15" w16cid:durableId="1848710996">
    <w:abstractNumId w:val="16"/>
  </w:num>
  <w:num w:numId="16" w16cid:durableId="1527139066">
    <w:abstractNumId w:val="26"/>
  </w:num>
  <w:num w:numId="17" w16cid:durableId="1174492411">
    <w:abstractNumId w:val="1"/>
  </w:num>
  <w:num w:numId="18" w16cid:durableId="925068463">
    <w:abstractNumId w:val="32"/>
  </w:num>
  <w:num w:numId="19" w16cid:durableId="740373374">
    <w:abstractNumId w:val="19"/>
  </w:num>
  <w:num w:numId="20" w16cid:durableId="1555579326">
    <w:abstractNumId w:val="39"/>
  </w:num>
  <w:num w:numId="21" w16cid:durableId="170145762">
    <w:abstractNumId w:val="36"/>
  </w:num>
  <w:num w:numId="22" w16cid:durableId="1928270384">
    <w:abstractNumId w:val="21"/>
  </w:num>
  <w:num w:numId="23" w16cid:durableId="1787037587">
    <w:abstractNumId w:val="11"/>
  </w:num>
  <w:num w:numId="24" w16cid:durableId="911768588">
    <w:abstractNumId w:val="30"/>
  </w:num>
  <w:num w:numId="25" w16cid:durableId="2090342216">
    <w:abstractNumId w:val="35"/>
  </w:num>
  <w:num w:numId="26" w16cid:durableId="708840198">
    <w:abstractNumId w:val="24"/>
  </w:num>
  <w:num w:numId="27" w16cid:durableId="552160227">
    <w:abstractNumId w:val="18"/>
  </w:num>
  <w:num w:numId="28" w16cid:durableId="1551303030">
    <w:abstractNumId w:val="15"/>
  </w:num>
  <w:num w:numId="29" w16cid:durableId="337390928">
    <w:abstractNumId w:val="10"/>
  </w:num>
  <w:num w:numId="30" w16cid:durableId="321547109">
    <w:abstractNumId w:val="27"/>
  </w:num>
  <w:num w:numId="31" w16cid:durableId="376970608">
    <w:abstractNumId w:val="22"/>
  </w:num>
  <w:num w:numId="32" w16cid:durableId="619609639">
    <w:abstractNumId w:val="25"/>
  </w:num>
  <w:num w:numId="33" w16cid:durableId="679741145">
    <w:abstractNumId w:val="9"/>
  </w:num>
  <w:num w:numId="34" w16cid:durableId="1820031921">
    <w:abstractNumId w:val="7"/>
  </w:num>
  <w:num w:numId="35" w16cid:durableId="1378819252">
    <w:abstractNumId w:val="0"/>
  </w:num>
  <w:num w:numId="36" w16cid:durableId="907034662">
    <w:abstractNumId w:val="28"/>
  </w:num>
  <w:num w:numId="37" w16cid:durableId="356466047">
    <w:abstractNumId w:val="34"/>
  </w:num>
  <w:num w:numId="38" w16cid:durableId="1111974056">
    <w:abstractNumId w:val="38"/>
  </w:num>
  <w:num w:numId="39" w16cid:durableId="883756551">
    <w:abstractNumId w:val="4"/>
  </w:num>
  <w:num w:numId="40" w16cid:durableId="1531718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02731"/>
    <w:rsid w:val="000064B7"/>
    <w:rsid w:val="000239D3"/>
    <w:rsid w:val="00024F0A"/>
    <w:rsid w:val="00041F0E"/>
    <w:rsid w:val="00072DD3"/>
    <w:rsid w:val="000746EC"/>
    <w:rsid w:val="000920BF"/>
    <w:rsid w:val="000940E3"/>
    <w:rsid w:val="000A6D8A"/>
    <w:rsid w:val="000B208E"/>
    <w:rsid w:val="000C0BEA"/>
    <w:rsid w:val="000D0FDA"/>
    <w:rsid w:val="001050E0"/>
    <w:rsid w:val="00135A8A"/>
    <w:rsid w:val="00173B2E"/>
    <w:rsid w:val="0018159B"/>
    <w:rsid w:val="00182FA4"/>
    <w:rsid w:val="001A28A1"/>
    <w:rsid w:val="001A4522"/>
    <w:rsid w:val="001C5D38"/>
    <w:rsid w:val="001E7DD6"/>
    <w:rsid w:val="001F10E0"/>
    <w:rsid w:val="00200F69"/>
    <w:rsid w:val="00212CA6"/>
    <w:rsid w:val="002170B2"/>
    <w:rsid w:val="00235191"/>
    <w:rsid w:val="00240A3D"/>
    <w:rsid w:val="002444FD"/>
    <w:rsid w:val="00252923"/>
    <w:rsid w:val="00285B27"/>
    <w:rsid w:val="002A78DE"/>
    <w:rsid w:val="002B1DFB"/>
    <w:rsid w:val="002C0F09"/>
    <w:rsid w:val="002D1C5C"/>
    <w:rsid w:val="002F7EDA"/>
    <w:rsid w:val="00302576"/>
    <w:rsid w:val="00387B51"/>
    <w:rsid w:val="00390C1A"/>
    <w:rsid w:val="003A2584"/>
    <w:rsid w:val="003B0280"/>
    <w:rsid w:val="003B176A"/>
    <w:rsid w:val="00404DC1"/>
    <w:rsid w:val="00441B4D"/>
    <w:rsid w:val="00471B3E"/>
    <w:rsid w:val="0047670F"/>
    <w:rsid w:val="004770DF"/>
    <w:rsid w:val="00480D15"/>
    <w:rsid w:val="004E471C"/>
    <w:rsid w:val="00517027"/>
    <w:rsid w:val="00536E36"/>
    <w:rsid w:val="005573B0"/>
    <w:rsid w:val="0056360B"/>
    <w:rsid w:val="005A49E9"/>
    <w:rsid w:val="005B04E5"/>
    <w:rsid w:val="005B40F6"/>
    <w:rsid w:val="005B529A"/>
    <w:rsid w:val="005C1009"/>
    <w:rsid w:val="005D1591"/>
    <w:rsid w:val="00625DAE"/>
    <w:rsid w:val="00650355"/>
    <w:rsid w:val="00652A74"/>
    <w:rsid w:val="00656839"/>
    <w:rsid w:val="00682117"/>
    <w:rsid w:val="006C5C71"/>
    <w:rsid w:val="006E205B"/>
    <w:rsid w:val="006E21A5"/>
    <w:rsid w:val="006E737B"/>
    <w:rsid w:val="00732525"/>
    <w:rsid w:val="007354D3"/>
    <w:rsid w:val="00752A88"/>
    <w:rsid w:val="00761EB0"/>
    <w:rsid w:val="007A294D"/>
    <w:rsid w:val="007A753D"/>
    <w:rsid w:val="007C2BCA"/>
    <w:rsid w:val="007D3CAD"/>
    <w:rsid w:val="007F77BB"/>
    <w:rsid w:val="008502F0"/>
    <w:rsid w:val="00850698"/>
    <w:rsid w:val="00861895"/>
    <w:rsid w:val="00866082"/>
    <w:rsid w:val="00890CAE"/>
    <w:rsid w:val="008B12B3"/>
    <w:rsid w:val="0090608C"/>
    <w:rsid w:val="009117F7"/>
    <w:rsid w:val="00913674"/>
    <w:rsid w:val="009258DE"/>
    <w:rsid w:val="00927497"/>
    <w:rsid w:val="00947C8D"/>
    <w:rsid w:val="00961A68"/>
    <w:rsid w:val="0098634C"/>
    <w:rsid w:val="009A3D8F"/>
    <w:rsid w:val="009A4683"/>
    <w:rsid w:val="009A6488"/>
    <w:rsid w:val="009E5FAC"/>
    <w:rsid w:val="009F1B05"/>
    <w:rsid w:val="00A063C8"/>
    <w:rsid w:val="00A35DB6"/>
    <w:rsid w:val="00A566A0"/>
    <w:rsid w:val="00A946D2"/>
    <w:rsid w:val="00A9648D"/>
    <w:rsid w:val="00AC6C29"/>
    <w:rsid w:val="00AE43A7"/>
    <w:rsid w:val="00AF2E2E"/>
    <w:rsid w:val="00B00B3C"/>
    <w:rsid w:val="00B05707"/>
    <w:rsid w:val="00B17B6A"/>
    <w:rsid w:val="00B234E6"/>
    <w:rsid w:val="00B2603B"/>
    <w:rsid w:val="00B56B88"/>
    <w:rsid w:val="00B63AD9"/>
    <w:rsid w:val="00B76F28"/>
    <w:rsid w:val="00B83712"/>
    <w:rsid w:val="00B918D4"/>
    <w:rsid w:val="00B956C5"/>
    <w:rsid w:val="00BA5785"/>
    <w:rsid w:val="00BB0282"/>
    <w:rsid w:val="00BC7222"/>
    <w:rsid w:val="00BD7826"/>
    <w:rsid w:val="00C17630"/>
    <w:rsid w:val="00C30663"/>
    <w:rsid w:val="00C7130E"/>
    <w:rsid w:val="00C81FE6"/>
    <w:rsid w:val="00CA253B"/>
    <w:rsid w:val="00CF658E"/>
    <w:rsid w:val="00D4618B"/>
    <w:rsid w:val="00D662BF"/>
    <w:rsid w:val="00D6741E"/>
    <w:rsid w:val="00DC0E70"/>
    <w:rsid w:val="00E23691"/>
    <w:rsid w:val="00E26AEE"/>
    <w:rsid w:val="00E43704"/>
    <w:rsid w:val="00E5757C"/>
    <w:rsid w:val="00E84B2F"/>
    <w:rsid w:val="00E871AF"/>
    <w:rsid w:val="00E87366"/>
    <w:rsid w:val="00F00F07"/>
    <w:rsid w:val="00F029DB"/>
    <w:rsid w:val="00F305D0"/>
    <w:rsid w:val="00F46AEF"/>
    <w:rsid w:val="00FB6617"/>
    <w:rsid w:val="00FD2283"/>
    <w:rsid w:val="00FE1911"/>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47E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9E5F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243372728">
      <w:bodyDiv w:val="1"/>
      <w:marLeft w:val="0"/>
      <w:marRight w:val="0"/>
      <w:marTop w:val="0"/>
      <w:marBottom w:val="0"/>
      <w:divBdr>
        <w:top w:val="none" w:sz="0" w:space="0" w:color="auto"/>
        <w:left w:val="none" w:sz="0" w:space="0" w:color="auto"/>
        <w:bottom w:val="none" w:sz="0" w:space="0" w:color="auto"/>
        <w:right w:val="none" w:sz="0" w:space="0" w:color="auto"/>
      </w:divBdr>
      <w:divsChild>
        <w:div w:id="580409292">
          <w:marLeft w:val="0"/>
          <w:marRight w:val="0"/>
          <w:marTop w:val="0"/>
          <w:marBottom w:val="0"/>
          <w:divBdr>
            <w:top w:val="none" w:sz="0" w:space="0" w:color="auto"/>
            <w:left w:val="none" w:sz="0" w:space="0" w:color="auto"/>
            <w:bottom w:val="none" w:sz="0" w:space="0" w:color="auto"/>
            <w:right w:val="none" w:sz="0" w:space="0" w:color="auto"/>
          </w:divBdr>
          <w:divsChild>
            <w:div w:id="256602825">
              <w:marLeft w:val="0"/>
              <w:marRight w:val="0"/>
              <w:marTop w:val="0"/>
              <w:marBottom w:val="0"/>
              <w:divBdr>
                <w:top w:val="none" w:sz="0" w:space="0" w:color="auto"/>
                <w:left w:val="none" w:sz="0" w:space="0" w:color="auto"/>
                <w:bottom w:val="none" w:sz="0" w:space="0" w:color="auto"/>
                <w:right w:val="none" w:sz="0" w:space="0" w:color="auto"/>
              </w:divBdr>
              <w:divsChild>
                <w:div w:id="26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4CD01-01F0-E64A-BD41-1F45CEAF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3</cp:revision>
  <cp:lastPrinted>2019-04-29T13:12:00Z</cp:lastPrinted>
  <dcterms:created xsi:type="dcterms:W3CDTF">2023-01-12T17:54:00Z</dcterms:created>
  <dcterms:modified xsi:type="dcterms:W3CDTF">2023-01-12T17:57:00Z</dcterms:modified>
</cp:coreProperties>
</file>