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Book Antiqua" w:cs="Book Antiqua" w:hAnsi="Book Antiqua" w:eastAsia="Book Antiqua"/>
          <w:sz w:val="28"/>
          <w:szCs w:val="28"/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  <w:lang w:val="en-US"/>
        </w:rPr>
        <w:t>PACING GUIDE</w:t>
      </w:r>
    </w:p>
    <w:p>
      <w:pPr>
        <w:pStyle w:val="Body A"/>
        <w:jc w:val="center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Body A"/>
        <w:rPr>
          <w:rFonts w:ascii="Book Antiqua" w:cs="Book Antiqua" w:hAnsi="Book Antiqua" w:eastAsia="Book Antiqua"/>
          <w:b w:val="1"/>
          <w:bCs w:val="1"/>
          <w:sz w:val="28"/>
          <w:szCs w:val="28"/>
        </w:rPr>
      </w:pPr>
      <w:r>
        <w:rPr>
          <w:rFonts w:ascii="Book Antiqua" w:cs="Book Antiqua" w:hAnsi="Book Antiqua" w:eastAsia="Book Antiqua"/>
        </w:rPr>
        <w:tab/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n-US"/>
        </w:rPr>
        <w:t>COURSE:</w:t>
      </w:r>
      <w:r>
        <w:rPr>
          <w:rFonts w:ascii="Book Antiqua" w:cs="Book Antiqua" w:hAnsi="Book Antiqua" w:eastAsia="Book Antiqua"/>
          <w:sz w:val="28"/>
          <w:szCs w:val="28"/>
          <w:lang w:val="en-US"/>
        </w:rPr>
        <w:tab/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n-US"/>
        </w:rPr>
        <w:t>Music Tech 2</w:t>
        <w:tab/>
        <w:tab/>
        <w:tab/>
        <w:tab/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da-DK"/>
        </w:rPr>
        <w:t>GRADE(S):</w:t>
        <w:tab/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n-US"/>
        </w:rPr>
        <w:t>9-12</w:t>
      </w:r>
    </w:p>
    <w:p>
      <w:pPr>
        <w:pStyle w:val="Body A"/>
        <w:rPr>
          <w:rFonts w:ascii="Book Antiqua" w:cs="Book Antiqua" w:hAnsi="Book Antiqua" w:eastAsia="Book Antiqua"/>
          <w:sz w:val="28"/>
          <w:szCs w:val="28"/>
        </w:rPr>
      </w:pPr>
    </w:p>
    <w:tbl>
      <w:tblPr>
        <w:tblW w:w="1439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197"/>
        <w:gridCol w:w="2197"/>
        <w:gridCol w:w="1978"/>
        <w:gridCol w:w="2124"/>
        <w:gridCol w:w="2476"/>
        <w:gridCol w:w="3426"/>
      </w:tblGrid>
      <w:tr>
        <w:tblPrEx>
          <w:shd w:val="clear" w:color="auto" w:fill="5b9bd5"/>
        </w:tblPrEx>
        <w:trPr>
          <w:trHeight w:val="1340" w:hRule="atLeast"/>
          <w:tblHeader/>
        </w:trPr>
        <w:tc>
          <w:tcPr>
            <w:tcW w:type="dxa" w:w="2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spacing w:line="240" w:lineRule="auto"/>
              <w:jc w:val="center"/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>MONTHS/DAYS</w:t>
            </w:r>
          </w:p>
        </w:tc>
        <w:tc>
          <w:tcPr>
            <w:tcW w:type="dxa" w:w="2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spacing w:line="240" w:lineRule="auto"/>
              <w:jc w:val="center"/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>UNITS</w:t>
            </w:r>
          </w:p>
        </w:tc>
        <w:tc>
          <w:tcPr>
            <w:tcW w:type="dxa" w:w="19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spacing w:line="240" w:lineRule="auto"/>
              <w:jc w:val="center"/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>STANDARDS</w:t>
            </w:r>
          </w:p>
        </w:tc>
        <w:tc>
          <w:tcPr>
            <w:tcW w:type="dxa" w:w="21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spacing w:line="240" w:lineRule="auto"/>
              <w:jc w:val="center"/>
              <w:rPr>
                <w:rFonts w:ascii="Book Antiqua" w:cs="Book Antiqua" w:hAnsi="Book Antiqua" w:eastAsia="Book Antiqua"/>
                <w:shd w:val="nil" w:color="auto" w:fill="auto"/>
              </w:rPr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>CONTENT</w:t>
            </w:r>
          </w:p>
          <w:p>
            <w:pPr>
              <w:pStyle w:val="Body A"/>
              <w:widowControl w:val="0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Topics being covered? What do students need to know? (</w:t>
            </w:r>
            <w:r>
              <w:rPr>
                <w:rFonts w:ascii="Book Antiqua" w:hAnsi="Book Antiqua"/>
                <w:i w:val="1"/>
                <w:iCs w:val="1"/>
                <w:shd w:val="nil" w:color="auto" w:fill="auto"/>
                <w:rtl w:val="0"/>
                <w:lang w:val="en-US"/>
              </w:rPr>
              <w:t>nouns</w:t>
            </w: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spacing w:line="240" w:lineRule="auto"/>
              <w:jc w:val="center"/>
              <w:rPr>
                <w:rFonts w:ascii="Book Antiqua" w:cs="Book Antiqua" w:hAnsi="Book Antiqua" w:eastAsia="Book Antiqua"/>
                <w:shd w:val="nil" w:color="auto" w:fill="auto"/>
              </w:rPr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>ACTIVITIES</w:t>
            </w:r>
          </w:p>
          <w:p>
            <w:pPr>
              <w:pStyle w:val="Body A"/>
              <w:widowControl w:val="0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w/Integration of Technology &amp; Career Ready Practices</w:t>
            </w:r>
          </w:p>
        </w:tc>
        <w:tc>
          <w:tcPr>
            <w:tcW w:type="dxa" w:w="34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spacing w:line="240" w:lineRule="auto"/>
              <w:jc w:val="center"/>
              <w:rPr>
                <w:rFonts w:ascii="Book Antiqua" w:cs="Book Antiqua" w:hAnsi="Book Antiqua" w:eastAsia="Book Antiqua"/>
                <w:shd w:val="nil" w:color="auto" w:fill="auto"/>
              </w:rPr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>ASSESSMENTS</w:t>
            </w:r>
          </w:p>
          <w:p>
            <w:pPr>
              <w:pStyle w:val="Body A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What evidence (formative/summative) is utilized to establish that the content, standards, &amp; skills have been mastered?</w:t>
            </w:r>
          </w:p>
        </w:tc>
      </w:tr>
      <w:tr>
        <w:tblPrEx>
          <w:shd w:val="clear" w:color="auto" w:fill="d0ddef"/>
        </w:tblPrEx>
        <w:trPr>
          <w:trHeight w:val="8620" w:hRule="atLeast"/>
        </w:trPr>
        <w:tc>
          <w:tcPr>
            <w:tcW w:type="dxa" w:w="2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February</w:t>
            </w:r>
          </w:p>
        </w:tc>
        <w:tc>
          <w:tcPr>
            <w:tcW w:type="dxa" w:w="2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Foley Artistry &amp; Sound F/X</w:t>
            </w:r>
          </w:p>
        </w:tc>
        <w:tc>
          <w:tcPr>
            <w:tcW w:type="dxa" w:w="19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260" w:lineRule="atLeast"/>
              <w:rPr>
                <w:shd w:val="nil" w:color="auto" w:fill="auto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MU.9-12.1.3E.12acc.Re7</w:t>
            </w:r>
          </w:p>
          <w:p>
            <w:pPr>
              <w:pStyle w:val="Default"/>
              <w:spacing w:line="260" w:lineRule="atLeast"/>
              <w:rPr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MU.9-12.1.3E.12acc.Re8</w:t>
            </w:r>
          </w:p>
          <w:p>
            <w:pPr>
              <w:pStyle w:val="Default"/>
              <w:spacing w:line="260" w:lineRule="atLeast"/>
              <w:rPr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MU.9-12.1.3E.12acc.Re9</w:t>
            </w:r>
          </w:p>
          <w:p>
            <w:pPr>
              <w:pStyle w:val="Default"/>
              <w:spacing w:line="260" w:lineRule="atLeast"/>
              <w:rPr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MU.9-12.1.3B.12adv.Cn10</w:t>
            </w:r>
          </w:p>
          <w:p>
            <w:pPr>
              <w:pStyle w:val="Default"/>
              <w:spacing w:line="260" w:lineRule="atLeast"/>
              <w:rPr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MU.9-12.1.3B.12adv.Cn11</w:t>
            </w:r>
          </w:p>
          <w:p>
            <w:pPr>
              <w:pStyle w:val="Default"/>
              <w:spacing w:line="260" w:lineRule="atLeast"/>
              <w:rPr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MU.9-12.1.3E.12adv.Cr1</w:t>
            </w:r>
          </w:p>
          <w:p>
            <w:pPr>
              <w:pStyle w:val="Default"/>
              <w:spacing w:line="260" w:lineRule="atLeast"/>
              <w:rPr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MU.9-12.1.3E.12adv.Cr2</w:t>
            </w:r>
          </w:p>
          <w:p>
            <w:pPr>
              <w:pStyle w:val="Default"/>
              <w:spacing w:line="260" w:lineRule="atLeast"/>
              <w:rPr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MU.9-12.1.3E.12adv.Cr3</w:t>
            </w:r>
          </w:p>
          <w:p>
            <w:pPr>
              <w:pStyle w:val="Default"/>
              <w:spacing w:line="260" w:lineRule="atLeast"/>
              <w:rPr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MU.9-12.1.3E.12adv.Pr4</w:t>
            </w:r>
          </w:p>
          <w:p>
            <w:pPr>
              <w:pStyle w:val="Default"/>
              <w:spacing w:line="260" w:lineRule="atLeast"/>
              <w:rPr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MU.9-12.1.3E.12adv.Pr5</w:t>
            </w:r>
          </w:p>
          <w:p>
            <w:pPr>
              <w:pStyle w:val="Default"/>
              <w:spacing w:line="260" w:lineRule="atLeast"/>
              <w:rPr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MU.9-12.1.3E.12adv.Pr6</w:t>
            </w:r>
            <w:r>
              <w:rPr>
                <w:shd w:val="nil" w:color="auto" w:fill="auto"/>
              </w:rPr>
            </w:r>
          </w:p>
        </w:tc>
        <w:tc>
          <w:tcPr>
            <w:tcW w:type="dxa" w:w="21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Layered Drumming Techniques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Multi-Take Recording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Critique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Performing Live Using Keyboard Drums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Performing Live Using Multiple Takes to Achieve Final Product</w:t>
            </w:r>
          </w:p>
        </w:tc>
        <w:tc>
          <w:tcPr>
            <w:tcW w:type="dxa" w:w="34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Layered Drumming &amp; Multi-Take Recording Quiz</w:t>
            </w:r>
          </w:p>
        </w:tc>
      </w:tr>
      <w:tr>
        <w:tblPrEx>
          <w:shd w:val="clear" w:color="auto" w:fill="d0ddef"/>
        </w:tblPrEx>
        <w:trPr>
          <w:trHeight w:val="8620" w:hRule="atLeast"/>
        </w:trPr>
        <w:tc>
          <w:tcPr>
            <w:tcW w:type="dxa" w:w="2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March</w:t>
            </w:r>
          </w:p>
        </w:tc>
        <w:tc>
          <w:tcPr>
            <w:tcW w:type="dxa" w:w="2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Film &amp; Video Game Scoring</w:t>
            </w:r>
          </w:p>
        </w:tc>
        <w:tc>
          <w:tcPr>
            <w:tcW w:type="dxa" w:w="19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MU.9-12.1.3E.12acc.Re7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MU.9-12.1.3E.12acc.Re8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MU.9-12.1.3E.12acc.Re9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MU.9-12.1.3B.12adv.Cn10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MU.9-12.1.3B.12adv.Cn11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MU.9-12.1.3E.12adv.Cr1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MU.9-12.1.3E.12adv.Cr2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MU.9-12.1.3E.12adv.Cr3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MU.9-12.1.3E.12adv.Pr4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MU.9-12.1.3E.12adv.Pr5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MU.9-12.1.3E.12adv.Pr6</w:t>
            </w:r>
          </w:p>
        </w:tc>
        <w:tc>
          <w:tcPr>
            <w:tcW w:type="dxa" w:w="21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Varied Compositional Techniques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Silence vs Sound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Pacing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Critique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Sound &amp; Music Enhancing the Visual Media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Employ Various Musical Techniques to Convey Moods</w:t>
            </w:r>
          </w:p>
        </w:tc>
        <w:tc>
          <w:tcPr>
            <w:tcW w:type="dxa" w:w="34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Sound Collage Project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Foley Soundtrack Quiz</w:t>
            </w:r>
          </w:p>
        </w:tc>
      </w:tr>
      <w:tr>
        <w:tblPrEx>
          <w:shd w:val="clear" w:color="auto" w:fill="d0ddef"/>
        </w:tblPrEx>
        <w:trPr>
          <w:trHeight w:val="8620" w:hRule="atLeast"/>
        </w:trPr>
        <w:tc>
          <w:tcPr>
            <w:tcW w:type="dxa" w:w="2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April</w:t>
            </w:r>
          </w:p>
        </w:tc>
        <w:tc>
          <w:tcPr>
            <w:tcW w:type="dxa" w:w="2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Podcasting</w:t>
            </w:r>
          </w:p>
        </w:tc>
        <w:tc>
          <w:tcPr>
            <w:tcW w:type="dxa" w:w="19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MU.9-12.1.3E.12acc.Cr1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MU.9-12.1.3E.12acc.Cr2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MU.9-12.1.3E.12acc.Cr3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MU.9-12.1.3E.12acc.Pr4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MU.9-12.1.3E.12acc.Pr5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MU.9-12.1.3E.12acc.Pr6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MU.9-12.1.3E.12acc.Re7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MU.9-12.1.3E.12acc.Re8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MU.9-12.1.3E.12acc.Re9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MU.9-12.1.3B.12adv.Cn10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MU.9-12.1.3B.12adv.Cn11</w:t>
            </w:r>
          </w:p>
        </w:tc>
        <w:tc>
          <w:tcPr>
            <w:tcW w:type="dxa" w:w="21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Podcasting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Building Teamwork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Critique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Learning Basics &amp; Importance of Podcasts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Creating and Performing Two Different Podcasts</w:t>
            </w:r>
          </w:p>
        </w:tc>
        <w:tc>
          <w:tcPr>
            <w:tcW w:type="dxa" w:w="34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Favorite Music Podcast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Favorite Anything Podcast Project</w:t>
            </w:r>
          </w:p>
        </w:tc>
      </w:tr>
      <w:tr>
        <w:tblPrEx>
          <w:shd w:val="clear" w:color="auto" w:fill="d0ddef"/>
        </w:tblPrEx>
        <w:trPr>
          <w:trHeight w:val="6280" w:hRule="atLeast"/>
        </w:trPr>
        <w:tc>
          <w:tcPr>
            <w:tcW w:type="dxa" w:w="2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May</w:t>
            </w:r>
          </w:p>
        </w:tc>
        <w:tc>
          <w:tcPr>
            <w:tcW w:type="dxa" w:w="2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Audio Engineering &amp; Recording Production</w:t>
            </w:r>
          </w:p>
        </w:tc>
        <w:tc>
          <w:tcPr>
            <w:tcW w:type="dxa" w:w="19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MU.9-12.1.3E.12acc.Pr4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MU.9-12.1.3B.12adv.Cn10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MU.9-12.1.3B.12adv.Cn11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MU.9-12.1.3E.12adv.Cr2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MU.9-12.1.3E.12adv.Cr3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MU.9-12.1.3E.12adv.Re7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Fonts w:ascii="Book Antiqua" w:cs="Book Antiqua" w:hAnsi="Book Antiqua" w:eastAsia="Book Antiqua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MU.9-12.1.3E.12adv.Re8</w:t>
            </w:r>
          </w:p>
          <w:p>
            <w:pPr>
              <w:pStyle w:val="Default"/>
              <w:spacing w:line="260" w:lineRule="atLeast"/>
              <w:rPr>
                <w:rFonts w:ascii="Book Antiqua" w:cs="Book Antiqua" w:hAnsi="Book Antiqua" w:eastAsia="Book Antiqua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line="26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MU.9-12.1.3E.12adv.Re9</w:t>
            </w:r>
          </w:p>
        </w:tc>
        <w:tc>
          <w:tcPr>
            <w:tcW w:type="dxa" w:w="21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Microphone Types, Selection, &amp; Placement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Mixing &amp; Mastering Techniques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Post Production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Critique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Tributes Assignment Using Prerecorded Music Choices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Microphone Placement Demonstration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Raw Track Mix/Master</w:t>
            </w:r>
          </w:p>
        </w:tc>
        <w:tc>
          <w:tcPr>
            <w:tcW w:type="dxa" w:w="34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:sz w:val="22"/>
                <w:szCs w:val="22"/>
                <w:shd w:val="nil" w:color="auto" w:fill="auto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Tributes Project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Class Collaborative Multi-Track Mixing &amp; Mastering Project</w:t>
            </w:r>
          </w:p>
        </w:tc>
      </w:tr>
      <w:tr>
        <w:tblPrEx>
          <w:shd w:val="clear" w:color="auto" w:fill="d0ddef"/>
        </w:tblPrEx>
        <w:trPr>
          <w:trHeight w:val="560" w:hRule="atLeast"/>
        </w:trPr>
        <w:tc>
          <w:tcPr>
            <w:tcW w:type="dxa" w:w="2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February - June</w:t>
            </w:r>
          </w:p>
        </w:tc>
        <w:tc>
          <w:tcPr>
            <w:tcW w:type="dxa" w:w="2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Marking Period Assessment</w:t>
            </w:r>
          </w:p>
        </w:tc>
        <w:tc>
          <w:tcPr>
            <w:tcW w:type="dxa" w:w="19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Depends on Specific Marking Period</w:t>
            </w:r>
          </w:p>
        </w:tc>
        <w:tc>
          <w:tcPr>
            <w:tcW w:type="dxa" w:w="24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Marking Period Assessment</w:t>
            </w:r>
          </w:p>
        </w:tc>
        <w:tc>
          <w:tcPr>
            <w:tcW w:type="dxa" w:w="34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shd w:val="nil" w:color="auto" w:fill="auto"/>
                <w:rtl w:val="0"/>
                <w:lang w:val="en-US"/>
              </w:rPr>
              <w:t>Marking Period Assessment</w:t>
            </w:r>
          </w:p>
        </w:tc>
      </w:tr>
    </w:tbl>
    <w:p>
      <w:pPr>
        <w:pStyle w:val="Body A"/>
        <w:widowControl w:val="0"/>
        <w:spacing w:line="240" w:lineRule="auto"/>
        <w:ind w:left="108" w:hanging="108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Body A"/>
      </w:pPr>
      <w:r>
        <w:rPr>
          <w:rFonts w:ascii="Book Antiqua" w:cs="Book Antiqua" w:hAnsi="Book Antiqua" w:eastAsia="Book Antiqua"/>
          <w:sz w:val="28"/>
          <w:szCs w:val="28"/>
        </w:rPr>
      </w:r>
    </w:p>
    <w:sectPr>
      <w:headerReference w:type="default" r:id="rId4"/>
      <w:footerReference w:type="default" r:id="rId5"/>
      <w:pgSz w:w="15840" w:h="12240" w:orient="landscape"/>
      <w:pgMar w:top="720" w:right="720" w:bottom="720" w:left="72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