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680"/>
        <w:gridCol w:w="7270"/>
      </w:tblGrid>
      <w:tr w:rsidR="003B13EA" w14:paraId="62EA1367" w14:textId="77777777" w:rsidTr="009931E4">
        <w:trPr>
          <w:trHeight w:val="229"/>
        </w:trPr>
        <w:tc>
          <w:tcPr>
            <w:tcW w:w="5000" w:type="pct"/>
            <w:gridSpan w:val="2"/>
            <w:shd w:val="clear" w:color="auto" w:fill="1F497D" w:themeFill="text2"/>
          </w:tcPr>
          <w:p w14:paraId="4F9EC8A0" w14:textId="157E44F6" w:rsidR="003B13EA" w:rsidRDefault="00BF2852" w:rsidP="00A57265">
            <w:pPr>
              <w:jc w:val="center"/>
              <w:rPr>
                <w:b/>
                <w:i/>
                <w:color w:val="FFFFFF" w:themeColor="background1"/>
                <w:sz w:val="28"/>
              </w:rPr>
            </w:pPr>
            <w:r>
              <w:rPr>
                <w:b/>
                <w:i/>
                <w:color w:val="FFFFFF" w:themeColor="background1"/>
                <w:sz w:val="28"/>
              </w:rPr>
              <w:t>Middle School Dance Unit 3: Performance</w:t>
            </w:r>
          </w:p>
          <w:p w14:paraId="19837346" w14:textId="2BE02467" w:rsidR="00A57265" w:rsidRPr="003B13EA" w:rsidRDefault="00DC4E52" w:rsidP="00BF2852">
            <w:pPr>
              <w:jc w:val="center"/>
              <w:rPr>
                <w:b/>
                <w:i/>
              </w:rPr>
            </w:pPr>
            <w:r>
              <w:rPr>
                <w:b/>
                <w:i/>
                <w:color w:val="FFFFFF" w:themeColor="background1"/>
                <w:sz w:val="28"/>
              </w:rPr>
              <w:t xml:space="preserve">Weeks </w:t>
            </w:r>
            <w:r w:rsidR="00BF2852">
              <w:rPr>
                <w:b/>
                <w:i/>
                <w:color w:val="FFFFFF" w:themeColor="background1"/>
                <w:sz w:val="28"/>
              </w:rPr>
              <w:t>12-17</w:t>
            </w:r>
          </w:p>
        </w:tc>
      </w:tr>
      <w:tr w:rsidR="003B13EA" w14:paraId="3EA7D626" w14:textId="77777777" w:rsidTr="000072C7">
        <w:trPr>
          <w:trHeight w:val="1133"/>
        </w:trPr>
        <w:tc>
          <w:tcPr>
            <w:tcW w:w="5000" w:type="pct"/>
            <w:gridSpan w:val="2"/>
          </w:tcPr>
          <w:p w14:paraId="48F7417E" w14:textId="42377B51" w:rsidR="003B13EA" w:rsidRDefault="003B13EA">
            <w:pPr>
              <w:rPr>
                <w:color w:val="1F497D" w:themeColor="text2"/>
              </w:rPr>
            </w:pPr>
            <w:r w:rsidRPr="00B64819">
              <w:rPr>
                <w:b/>
                <w:color w:val="1F497D" w:themeColor="text2"/>
                <w:u w:val="single"/>
              </w:rPr>
              <w:t>Targeted Standards</w:t>
            </w:r>
            <w:r w:rsidRPr="00B64819">
              <w:rPr>
                <w:color w:val="1F497D" w:themeColor="text2"/>
              </w:rPr>
              <w:t xml:space="preserve"> </w:t>
            </w:r>
          </w:p>
          <w:p w14:paraId="6C2EB369" w14:textId="77777777" w:rsidR="00BF2852" w:rsidRPr="00F32A2F" w:rsidRDefault="00BF2852" w:rsidP="00BF2852">
            <w:pPr>
              <w:spacing w:before="40" w:after="40"/>
              <w:rPr>
                <w:b/>
              </w:rPr>
            </w:pPr>
            <w:r w:rsidRPr="00F32A2F">
              <w:rPr>
                <w:b/>
                <w:bCs/>
              </w:rPr>
              <w:t xml:space="preserve">1.3 Performance: </w:t>
            </w:r>
            <w:r w:rsidRPr="00F32A2F">
              <w:t>All students will synthesize those skills, media, methods, and technologies appropriate to creating, performing, and/or presenting works of art in dance, music, theatre, and visual art.</w:t>
            </w:r>
          </w:p>
          <w:p w14:paraId="0C65F655" w14:textId="77777777" w:rsidR="000027AA" w:rsidRDefault="000027AA" w:rsidP="000027AA"/>
        </w:tc>
      </w:tr>
      <w:tr w:rsidR="00634916" w14:paraId="709D8268" w14:textId="77777777" w:rsidTr="000072C7">
        <w:trPr>
          <w:trHeight w:val="1133"/>
        </w:trPr>
        <w:tc>
          <w:tcPr>
            <w:tcW w:w="5000" w:type="pct"/>
            <w:gridSpan w:val="2"/>
          </w:tcPr>
          <w:p w14:paraId="47CF3D48" w14:textId="2BCEBF19" w:rsidR="009931E4" w:rsidRPr="00B64819" w:rsidRDefault="00B64819" w:rsidP="00C071B6">
            <w:pPr>
              <w:rPr>
                <w:color w:val="1F497D" w:themeColor="text2"/>
                <w:sz w:val="20"/>
              </w:rPr>
            </w:pPr>
            <w:r w:rsidRPr="00B64819">
              <w:rPr>
                <w:b/>
                <w:color w:val="1F497D" w:themeColor="text2"/>
                <w:sz w:val="20"/>
                <w:szCs w:val="20"/>
                <w:u w:val="single"/>
              </w:rPr>
              <w:t>Rationale and Transfer Goals</w:t>
            </w:r>
            <w:r w:rsidRPr="00B64819">
              <w:rPr>
                <w:color w:val="1F497D" w:themeColor="text2"/>
                <w:sz w:val="20"/>
                <w:szCs w:val="20"/>
              </w:rPr>
              <w:t xml:space="preserve">: </w:t>
            </w:r>
          </w:p>
          <w:p w14:paraId="2F35CB3D" w14:textId="77777777" w:rsidR="00BF2852" w:rsidRPr="00815AA7" w:rsidRDefault="00BF2852" w:rsidP="00BF2852">
            <w:pPr>
              <w:spacing w:before="40" w:after="40"/>
              <w:rPr>
                <w:szCs w:val="28"/>
              </w:rPr>
            </w:pPr>
            <w:r>
              <w:rPr>
                <w:szCs w:val="28"/>
              </w:rPr>
              <w:t xml:space="preserve">Students will continue to explore and practice the basics of ballet, jazz, modern, and hip-hop in preparation for a performance in front of an audience.  This performance will reflect a student’s selected theme (political, social or historical) and involve choreographic principals and structures learned in unit 2. </w:t>
            </w:r>
          </w:p>
          <w:p w14:paraId="60A60185" w14:textId="77777777" w:rsidR="009931E4" w:rsidRDefault="009931E4" w:rsidP="00C071B6">
            <w:pPr>
              <w:rPr>
                <w:sz w:val="20"/>
              </w:rPr>
            </w:pPr>
          </w:p>
          <w:p w14:paraId="39094F89" w14:textId="77777777" w:rsidR="00BF2852" w:rsidRPr="003457BD" w:rsidRDefault="00BF2852" w:rsidP="00BF2852">
            <w:pPr>
              <w:spacing w:before="40" w:after="40"/>
              <w:rPr>
                <w:szCs w:val="28"/>
              </w:rPr>
            </w:pPr>
            <w:r>
              <w:rPr>
                <w:szCs w:val="28"/>
              </w:rPr>
              <w:t>Dance conveys message and emotion that must be both conveyed to and received by the audience.  This unit supports the opportunity for students to see how their selected message is received and interpreted by an audience.</w:t>
            </w:r>
          </w:p>
          <w:p w14:paraId="05462F9E" w14:textId="2410F164" w:rsidR="002D48AA" w:rsidRPr="002D48AA" w:rsidRDefault="002D48AA" w:rsidP="002D48AA">
            <w:pPr>
              <w:spacing w:before="40" w:after="40"/>
              <w:rPr>
                <w:szCs w:val="28"/>
              </w:rPr>
            </w:pPr>
          </w:p>
        </w:tc>
      </w:tr>
      <w:tr w:rsidR="009D4809" w14:paraId="5F7DD9DC" w14:textId="77777777" w:rsidTr="000072C7">
        <w:trPr>
          <w:trHeight w:val="904"/>
        </w:trPr>
        <w:tc>
          <w:tcPr>
            <w:tcW w:w="5000" w:type="pct"/>
            <w:gridSpan w:val="2"/>
          </w:tcPr>
          <w:p w14:paraId="65A0D0F5" w14:textId="242BFD9E" w:rsidR="009D4809" w:rsidRPr="00B64819" w:rsidRDefault="009D4809">
            <w:pPr>
              <w:rPr>
                <w:color w:val="1F497D" w:themeColor="text2"/>
              </w:rPr>
            </w:pPr>
            <w:r w:rsidRPr="00B64819">
              <w:rPr>
                <w:b/>
                <w:color w:val="1F497D" w:themeColor="text2"/>
                <w:u w:val="single"/>
              </w:rPr>
              <w:t>Enduring Understandings:</w:t>
            </w:r>
            <w:r w:rsidRPr="00B64819">
              <w:rPr>
                <w:color w:val="1F497D" w:themeColor="text2"/>
              </w:rPr>
              <w:t xml:space="preserve"> </w:t>
            </w:r>
          </w:p>
          <w:p w14:paraId="5C623E28" w14:textId="046EC949" w:rsidR="00A57265" w:rsidRDefault="00BF2852">
            <w:r>
              <w:t>Performance is the culmination of understanding dance in context and in the creative process</w:t>
            </w:r>
          </w:p>
          <w:p w14:paraId="1272F717" w14:textId="77777777" w:rsidR="009D4809" w:rsidRDefault="009D4809"/>
        </w:tc>
      </w:tr>
      <w:tr w:rsidR="009D4809" w14:paraId="3B214C78" w14:textId="77777777" w:rsidTr="000072C7">
        <w:trPr>
          <w:trHeight w:val="904"/>
        </w:trPr>
        <w:tc>
          <w:tcPr>
            <w:tcW w:w="5000" w:type="pct"/>
            <w:gridSpan w:val="2"/>
          </w:tcPr>
          <w:p w14:paraId="7A1BC913" w14:textId="64D9D252" w:rsidR="009D4809" w:rsidRPr="00B64819" w:rsidRDefault="009D4809">
            <w:pPr>
              <w:rPr>
                <w:color w:val="1F497D" w:themeColor="text2"/>
              </w:rPr>
            </w:pPr>
            <w:r w:rsidRPr="00B64819">
              <w:rPr>
                <w:b/>
                <w:color w:val="1F497D" w:themeColor="text2"/>
                <w:u w:val="single"/>
              </w:rPr>
              <w:t>Essential Questions</w:t>
            </w:r>
            <w:r w:rsidRPr="00B64819">
              <w:rPr>
                <w:color w:val="1F497D" w:themeColor="text2"/>
              </w:rPr>
              <w:t xml:space="preserve">: </w:t>
            </w:r>
          </w:p>
          <w:p w14:paraId="4D36672F" w14:textId="32282721" w:rsidR="00A57265" w:rsidRDefault="00BF2852">
            <w:r>
              <w:t>How can I apply what I have learned about dance, with respect to my personal creativity, in a performance?</w:t>
            </w:r>
          </w:p>
        </w:tc>
      </w:tr>
      <w:tr w:rsidR="00ED361D" w14:paraId="426A31D8" w14:textId="77777777" w:rsidTr="00ED361D">
        <w:trPr>
          <w:trHeight w:val="229"/>
        </w:trPr>
        <w:tc>
          <w:tcPr>
            <w:tcW w:w="5000" w:type="pct"/>
            <w:gridSpan w:val="2"/>
            <w:shd w:val="clear" w:color="auto" w:fill="1F497D" w:themeFill="text2"/>
          </w:tcPr>
          <w:p w14:paraId="3BEB06A1" w14:textId="2E44ED17" w:rsidR="00ED361D" w:rsidRPr="000072C7" w:rsidRDefault="00ED361D" w:rsidP="009D4809">
            <w:pPr>
              <w:jc w:val="center"/>
              <w:rPr>
                <w:b/>
                <w:color w:val="FFFFFF" w:themeColor="background1"/>
                <w:sz w:val="24"/>
              </w:rPr>
            </w:pPr>
            <w:r w:rsidRPr="000072C7">
              <w:rPr>
                <w:b/>
                <w:color w:val="FFFFFF" w:themeColor="background1"/>
                <w:sz w:val="24"/>
              </w:rPr>
              <w:t>Content/Objectives</w:t>
            </w:r>
          </w:p>
        </w:tc>
      </w:tr>
      <w:tr w:rsidR="00ED361D" w14:paraId="0E1F102A" w14:textId="77777777" w:rsidTr="00ED361D">
        <w:trPr>
          <w:trHeight w:val="216"/>
        </w:trPr>
        <w:tc>
          <w:tcPr>
            <w:tcW w:w="2193" w:type="pct"/>
          </w:tcPr>
          <w:p w14:paraId="7F06FFC2" w14:textId="77777777" w:rsidR="00ED361D" w:rsidRDefault="00ED361D" w:rsidP="008F270A">
            <w:pPr>
              <w:jc w:val="center"/>
              <w:rPr>
                <w:b/>
              </w:rPr>
            </w:pPr>
            <w:r w:rsidRPr="009D4809">
              <w:rPr>
                <w:b/>
              </w:rPr>
              <w:t>Content</w:t>
            </w:r>
          </w:p>
          <w:p w14:paraId="4A8EC2F1" w14:textId="2F4FB989" w:rsidR="00ED361D" w:rsidRPr="00566E5B" w:rsidRDefault="00ED361D" w:rsidP="008F270A">
            <w:pPr>
              <w:jc w:val="center"/>
              <w:rPr>
                <w:b/>
                <w:i/>
              </w:rPr>
            </w:pPr>
            <w:r w:rsidRPr="00566E5B">
              <w:rPr>
                <w:b/>
                <w:i/>
              </w:rPr>
              <w:t>What students will kno</w:t>
            </w:r>
            <w:r>
              <w:rPr>
                <w:b/>
                <w:i/>
              </w:rPr>
              <w:t>w</w:t>
            </w:r>
          </w:p>
        </w:tc>
        <w:tc>
          <w:tcPr>
            <w:tcW w:w="2807" w:type="pct"/>
          </w:tcPr>
          <w:p w14:paraId="5111622A" w14:textId="77777777" w:rsidR="00ED361D" w:rsidRDefault="00ED361D" w:rsidP="008F270A">
            <w:pPr>
              <w:jc w:val="center"/>
              <w:rPr>
                <w:b/>
              </w:rPr>
            </w:pPr>
            <w:r w:rsidRPr="009D4809">
              <w:rPr>
                <w:b/>
              </w:rPr>
              <w:t>Skills</w:t>
            </w:r>
          </w:p>
          <w:p w14:paraId="7A684B56" w14:textId="208D817B" w:rsidR="00ED361D" w:rsidRPr="00566E5B" w:rsidRDefault="00ED361D" w:rsidP="00ED361D">
            <w:pPr>
              <w:jc w:val="center"/>
              <w:rPr>
                <w:b/>
                <w:i/>
              </w:rPr>
            </w:pPr>
            <w:r w:rsidRPr="00566E5B">
              <w:rPr>
                <w:b/>
                <w:i/>
              </w:rPr>
              <w:t>What students will be able to do</w:t>
            </w:r>
          </w:p>
        </w:tc>
      </w:tr>
      <w:tr w:rsidR="00ED361D" w14:paraId="21DA5491" w14:textId="77777777" w:rsidTr="00ED361D">
        <w:trPr>
          <w:trHeight w:val="130"/>
        </w:trPr>
        <w:tc>
          <w:tcPr>
            <w:tcW w:w="2193" w:type="pct"/>
          </w:tcPr>
          <w:p w14:paraId="1DBB041E" w14:textId="6B3B5D3E" w:rsidR="00BF2852" w:rsidRPr="00BF2852" w:rsidRDefault="00BF2852" w:rsidP="00BF2852">
            <w:pPr>
              <w:numPr>
                <w:ilvl w:val="0"/>
                <w:numId w:val="6"/>
              </w:numPr>
              <w:spacing w:before="40" w:after="40"/>
              <w:rPr>
                <w:rFonts w:cs="Function-Oblique"/>
                <w:iCs/>
              </w:rPr>
            </w:pPr>
            <w:r w:rsidRPr="00BF2852">
              <w:t>Movement dynamics and qualities emphasize time, space, and energy. Movement affinities and effort actions impact dynamic tension and spatial relationships.</w:t>
            </w:r>
          </w:p>
          <w:p w14:paraId="2A99B0DE" w14:textId="77777777" w:rsidR="00BF2852" w:rsidRPr="00BF2852" w:rsidRDefault="00BF2852" w:rsidP="00BF2852">
            <w:pPr>
              <w:numPr>
                <w:ilvl w:val="0"/>
                <w:numId w:val="6"/>
              </w:numPr>
              <w:spacing w:before="40" w:after="40"/>
              <w:rPr>
                <w:rFonts w:cs="Function-Oblique"/>
                <w:iCs/>
              </w:rPr>
            </w:pPr>
            <w:r w:rsidRPr="00BF2852">
              <w:t>Dance may be used as a symbolic language to communicate universal themes and varied points of view about social, political, or historical issues in given eras.</w:t>
            </w:r>
          </w:p>
          <w:p w14:paraId="6522F070" w14:textId="273B127F" w:rsidR="00BF2852" w:rsidRPr="00BF2852" w:rsidRDefault="00BF2852" w:rsidP="00BF2852">
            <w:pPr>
              <w:numPr>
                <w:ilvl w:val="0"/>
                <w:numId w:val="6"/>
              </w:numPr>
              <w:spacing w:before="40" w:after="40"/>
              <w:rPr>
                <w:rFonts w:cs="Function-Oblique"/>
                <w:iCs/>
              </w:rPr>
            </w:pPr>
            <w:r w:rsidRPr="00BF2852">
              <w:lastRenderedPageBreak/>
              <w:t>Foundational understanding of anatomical and kinesthetic principles is a contributing factor to dance artistry. Artistry in dance requires rhythmic acuity.</w:t>
            </w:r>
          </w:p>
          <w:p w14:paraId="086EF6F2" w14:textId="07AA5513" w:rsidR="00BF2852" w:rsidRPr="00BF2852" w:rsidRDefault="00BF2852" w:rsidP="00BF2852">
            <w:pPr>
              <w:numPr>
                <w:ilvl w:val="0"/>
                <w:numId w:val="6"/>
              </w:numPr>
              <w:spacing w:before="40" w:after="40"/>
              <w:rPr>
                <w:rFonts w:cs="Function-Oblique"/>
                <w:iCs/>
              </w:rPr>
            </w:pPr>
            <w:r w:rsidRPr="00BF2852">
              <w:t>Technology and media arts are often catalysts for creating original choreographic compositions.</w:t>
            </w:r>
          </w:p>
          <w:p w14:paraId="04E99405" w14:textId="77777777" w:rsidR="00ED361D" w:rsidRPr="00BF2852" w:rsidRDefault="00ED361D"/>
        </w:tc>
        <w:tc>
          <w:tcPr>
            <w:tcW w:w="2807" w:type="pct"/>
          </w:tcPr>
          <w:p w14:paraId="4F56A342" w14:textId="77777777" w:rsidR="00BF2852" w:rsidRPr="00BF2852" w:rsidRDefault="00BF2852" w:rsidP="00BF2852">
            <w:pPr>
              <w:numPr>
                <w:ilvl w:val="0"/>
                <w:numId w:val="7"/>
              </w:numPr>
              <w:spacing w:before="40" w:after="40"/>
            </w:pPr>
            <w:r w:rsidRPr="00BF2852">
              <w:lastRenderedPageBreak/>
              <w:t>Continue their exploration of various genres of dance, including ballet, jazz, modern and hip-hop</w:t>
            </w:r>
          </w:p>
          <w:p w14:paraId="49C1F5B7" w14:textId="77777777" w:rsidR="00BF2852" w:rsidRPr="00BF2852" w:rsidRDefault="00BF2852" w:rsidP="00BF2852">
            <w:pPr>
              <w:numPr>
                <w:ilvl w:val="0"/>
                <w:numId w:val="7"/>
              </w:numPr>
              <w:spacing w:before="40" w:after="40"/>
            </w:pPr>
            <w:r w:rsidRPr="00BF2852">
              <w:t>Research and develop a theme that is social, historical, or political in nature to drive the development of a dance to be performed in front of an audience</w:t>
            </w:r>
          </w:p>
          <w:p w14:paraId="701B8C15" w14:textId="77777777" w:rsidR="002D48AA" w:rsidRPr="00BF2852" w:rsidRDefault="00BF2852" w:rsidP="00BF2852">
            <w:pPr>
              <w:numPr>
                <w:ilvl w:val="0"/>
                <w:numId w:val="7"/>
              </w:numPr>
              <w:spacing w:before="40" w:after="40"/>
            </w:pPr>
            <w:r w:rsidRPr="00BF2852">
              <w:t>Examine the ways in which choreography and movement convey emotion, identifying and incorporating specific techniques in their dance in order to elicit a given audience response</w:t>
            </w:r>
          </w:p>
          <w:p w14:paraId="35A6E12A" w14:textId="0CA2934C" w:rsidR="00BF2852" w:rsidRPr="00BF2852" w:rsidRDefault="00BF2852" w:rsidP="00BF2852">
            <w:pPr>
              <w:numPr>
                <w:ilvl w:val="0"/>
                <w:numId w:val="7"/>
              </w:numPr>
              <w:spacing w:before="40" w:after="40"/>
            </w:pPr>
            <w:r w:rsidRPr="00BF2852">
              <w:lastRenderedPageBreak/>
              <w:t>Incorporate a broad range of dynamics and movement qualities in planned and improvised solo and group works by manipulating aspects of time, space, and energy</w:t>
            </w:r>
          </w:p>
          <w:p w14:paraId="65BC3A8A" w14:textId="77777777" w:rsidR="00BF2852" w:rsidRPr="00BF2852" w:rsidRDefault="00BF2852" w:rsidP="00BF2852">
            <w:pPr>
              <w:numPr>
                <w:ilvl w:val="0"/>
                <w:numId w:val="7"/>
              </w:numPr>
              <w:spacing w:before="40" w:after="40"/>
            </w:pPr>
            <w:r w:rsidRPr="00BF2852">
              <w:t>Choreograph and perform cohesive dance works that reflect social, historical, and/or political themes</w:t>
            </w:r>
          </w:p>
          <w:p w14:paraId="10501CC0" w14:textId="77777777" w:rsidR="00BF2852" w:rsidRPr="00BF2852" w:rsidRDefault="00BF2852" w:rsidP="00BF2852">
            <w:pPr>
              <w:numPr>
                <w:ilvl w:val="0"/>
                <w:numId w:val="7"/>
              </w:numPr>
              <w:spacing w:before="40" w:after="40"/>
            </w:pPr>
            <w:r w:rsidRPr="00BF2852">
              <w:t>Choreograph and perform movement sequences that demonstrate artistic application of anatomical and kinesthetic principles as well as rhythmic acuity</w:t>
            </w:r>
          </w:p>
          <w:p w14:paraId="23CA4589" w14:textId="1538AD04" w:rsidR="00BF2852" w:rsidRPr="00BF2852" w:rsidRDefault="00BF2852" w:rsidP="00BF2852">
            <w:pPr>
              <w:numPr>
                <w:ilvl w:val="0"/>
                <w:numId w:val="7"/>
              </w:numPr>
              <w:spacing w:before="40" w:after="40"/>
            </w:pPr>
            <w:r w:rsidRPr="00BF2852">
              <w:t>Use media arts and technology in the creation and performance of short, original choreographic compositions</w:t>
            </w:r>
          </w:p>
        </w:tc>
      </w:tr>
      <w:tr w:rsidR="00634916" w14:paraId="1E5F1F15" w14:textId="77777777" w:rsidTr="000072C7">
        <w:trPr>
          <w:trHeight w:val="122"/>
        </w:trPr>
        <w:tc>
          <w:tcPr>
            <w:tcW w:w="5000" w:type="pct"/>
            <w:gridSpan w:val="2"/>
          </w:tcPr>
          <w:p w14:paraId="39D468B1" w14:textId="3204AC44" w:rsidR="00634916" w:rsidRDefault="00634916">
            <w:pPr>
              <w:rPr>
                <w:color w:val="1F497D" w:themeColor="text2"/>
              </w:rPr>
            </w:pPr>
            <w:r>
              <w:rPr>
                <w:b/>
                <w:u w:val="single"/>
              </w:rPr>
              <w:lastRenderedPageBreak/>
              <w:t>21</w:t>
            </w:r>
            <w:r w:rsidRPr="00634916">
              <w:rPr>
                <w:b/>
                <w:u w:val="single"/>
                <w:vertAlign w:val="superscript"/>
              </w:rPr>
              <w:t>st</w:t>
            </w:r>
            <w:r>
              <w:rPr>
                <w:b/>
                <w:u w:val="single"/>
              </w:rPr>
              <w:t xml:space="preserve"> Century Skills:</w:t>
            </w:r>
            <w:r>
              <w:t xml:space="preserve"> </w:t>
            </w:r>
          </w:p>
          <w:p w14:paraId="6A81D86A" w14:textId="77777777" w:rsidR="00BF2852" w:rsidRPr="00732B61" w:rsidRDefault="00BF2852" w:rsidP="00BF2852">
            <w:pPr>
              <w:spacing w:before="40" w:after="40"/>
            </w:pPr>
            <w:r w:rsidRPr="00732B61">
              <w:t>CRP2. Apply appropriate academic and technical skills.</w:t>
            </w:r>
          </w:p>
          <w:p w14:paraId="1258595D" w14:textId="77777777" w:rsidR="00BF2852" w:rsidRPr="00732B61" w:rsidRDefault="00BF2852" w:rsidP="00BF2852">
            <w:pPr>
              <w:spacing w:before="40" w:after="40"/>
            </w:pPr>
            <w:r w:rsidRPr="00732B61">
              <w:t>CRP4. Communicate clearly and effectively and with reason.</w:t>
            </w:r>
          </w:p>
          <w:p w14:paraId="62690C1D" w14:textId="77777777" w:rsidR="00BF2852" w:rsidRPr="00732B61" w:rsidRDefault="00BF2852" w:rsidP="00BF2852">
            <w:pPr>
              <w:spacing w:before="40" w:after="40"/>
            </w:pPr>
            <w:r w:rsidRPr="00732B61">
              <w:t>CRP6. Demonstrate creativity and innovation.</w:t>
            </w:r>
          </w:p>
          <w:p w14:paraId="49698D81" w14:textId="77777777" w:rsidR="001F6BA6" w:rsidRDefault="00BF2852" w:rsidP="00BF2852">
            <w:r w:rsidRPr="00732B61">
              <w:t>CRP8. Utilize critical thinking to make sense of problems and persevere in</w:t>
            </w:r>
            <w:r>
              <w:t xml:space="preserve"> solving them.</w:t>
            </w:r>
          </w:p>
          <w:p w14:paraId="24C11569" w14:textId="7302B1BD" w:rsidR="00BF2852" w:rsidRPr="00634916" w:rsidRDefault="00BF2852" w:rsidP="00BF2852"/>
        </w:tc>
      </w:tr>
      <w:tr w:rsidR="009D4809" w14:paraId="569A3DD7" w14:textId="77777777" w:rsidTr="000072C7">
        <w:trPr>
          <w:trHeight w:val="122"/>
        </w:trPr>
        <w:tc>
          <w:tcPr>
            <w:tcW w:w="5000" w:type="pct"/>
            <w:gridSpan w:val="2"/>
          </w:tcPr>
          <w:p w14:paraId="42383C79" w14:textId="784C193D" w:rsidR="009D4809" w:rsidRDefault="009D4809">
            <w:r w:rsidRPr="009D4809">
              <w:rPr>
                <w:b/>
                <w:u w:val="single"/>
              </w:rPr>
              <w:t>Key resources:</w:t>
            </w:r>
            <w:r>
              <w:t xml:space="preserve">  </w:t>
            </w:r>
          </w:p>
          <w:p w14:paraId="1A711EB1" w14:textId="00B32493" w:rsidR="00233D18" w:rsidRDefault="00233D18">
            <w:pPr>
              <w:rPr>
                <w:color w:val="1F497D" w:themeColor="text2"/>
              </w:rPr>
            </w:pPr>
            <w:r>
              <w:t>Teacher-developed</w:t>
            </w:r>
          </w:p>
          <w:p w14:paraId="0274D19E" w14:textId="77777777" w:rsidR="001F6BA6" w:rsidRDefault="001F6BA6"/>
        </w:tc>
      </w:tr>
      <w:tr w:rsidR="00A34FBD" w14:paraId="1F8F5FD8" w14:textId="77777777" w:rsidTr="000072C7">
        <w:trPr>
          <w:trHeight w:val="122"/>
        </w:trPr>
        <w:tc>
          <w:tcPr>
            <w:tcW w:w="5000" w:type="pct"/>
            <w:gridSpan w:val="2"/>
          </w:tcPr>
          <w:p w14:paraId="5A5C92EC" w14:textId="021B0808" w:rsidR="00A34FBD" w:rsidRDefault="00A34FBD">
            <w:pPr>
              <w:rPr>
                <w:color w:val="1F497D" w:themeColor="text2"/>
              </w:rPr>
            </w:pPr>
            <w:r>
              <w:rPr>
                <w:b/>
                <w:u w:val="single"/>
              </w:rPr>
              <w:t>Interdisciplinary Connections</w:t>
            </w:r>
            <w:r>
              <w:t xml:space="preserve"> </w:t>
            </w:r>
          </w:p>
          <w:p w14:paraId="4B01E420" w14:textId="1D3828F5" w:rsidR="00233D18" w:rsidRPr="00233D18" w:rsidRDefault="00233D18">
            <w:r w:rsidRPr="00233D18">
              <w:t>Connections to visual, musical, and theater arts</w:t>
            </w:r>
          </w:p>
          <w:p w14:paraId="22996B14" w14:textId="77777777" w:rsidR="00233D18" w:rsidRPr="00233D18" w:rsidRDefault="00233D18">
            <w:r w:rsidRPr="00233D18">
              <w:t>Reading and writing in the content area</w:t>
            </w:r>
          </w:p>
          <w:p w14:paraId="0CFB5B4E" w14:textId="77777777" w:rsidR="00233D18" w:rsidRPr="00233D18" w:rsidRDefault="00233D18">
            <w:r w:rsidRPr="00233D18">
              <w:t>Historical connections to context of dance</w:t>
            </w:r>
          </w:p>
          <w:p w14:paraId="08076A8D" w14:textId="5F7C49C9" w:rsidR="008F270A" w:rsidRPr="002D48AA" w:rsidRDefault="00233D18">
            <w:r w:rsidRPr="00233D18">
              <w:t>Science of movement, anatomy and physiology</w:t>
            </w:r>
          </w:p>
        </w:tc>
      </w:tr>
    </w:tbl>
    <w:p w14:paraId="0BBDA427" w14:textId="0E87F9D3" w:rsidR="00D0471A" w:rsidRDefault="00D0471A" w:rsidP="00D0471A">
      <w:pPr>
        <w:pStyle w:val="Footer"/>
        <w:jc w:val="center"/>
      </w:pPr>
    </w:p>
    <w:sectPr w:rsidR="00D0471A" w:rsidSect="001F6BA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F05F" w14:textId="77777777" w:rsidR="00A47BC1" w:rsidRDefault="00A47BC1" w:rsidP="002E0AC1">
      <w:pPr>
        <w:spacing w:after="0" w:line="240" w:lineRule="auto"/>
      </w:pPr>
      <w:r>
        <w:separator/>
      </w:r>
    </w:p>
  </w:endnote>
  <w:endnote w:type="continuationSeparator" w:id="0">
    <w:p w14:paraId="1CA0709E" w14:textId="77777777" w:rsidR="00A47BC1" w:rsidRDefault="00A47BC1" w:rsidP="002E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Function-Oblique">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5616" w14:textId="77777777" w:rsidR="003E74BD" w:rsidRDefault="003E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5231" w14:textId="77777777" w:rsidR="00291B6B" w:rsidRDefault="00291B6B" w:rsidP="00C7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9AA4" w14:textId="77777777" w:rsidR="003E74BD" w:rsidRDefault="003E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F72B1" w14:textId="77777777" w:rsidR="00A47BC1" w:rsidRDefault="00A47BC1" w:rsidP="002E0AC1">
      <w:pPr>
        <w:spacing w:after="0" w:line="240" w:lineRule="auto"/>
      </w:pPr>
      <w:r>
        <w:separator/>
      </w:r>
    </w:p>
  </w:footnote>
  <w:footnote w:type="continuationSeparator" w:id="0">
    <w:p w14:paraId="054D8307" w14:textId="77777777" w:rsidR="00A47BC1" w:rsidRDefault="00A47BC1" w:rsidP="002E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539C" w14:textId="77777777" w:rsidR="003E74BD" w:rsidRDefault="003E7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3C60" w14:textId="4777C4BB" w:rsidR="00291B6B" w:rsidRDefault="00291B6B" w:rsidP="00C773E0">
    <w:pPr>
      <w:pStyle w:val="Header"/>
      <w:jc w:val="center"/>
    </w:pPr>
    <w:bookmarkStart w:id="0" w:name="_GoBack"/>
    <w:bookmarkEnd w:id="0"/>
  </w:p>
  <w:p w14:paraId="7A3B1B85" w14:textId="77777777" w:rsidR="00291B6B" w:rsidRDefault="00291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6D89" w14:textId="77777777" w:rsidR="003E74BD" w:rsidRDefault="003E7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D1E"/>
    <w:multiLevelType w:val="hybridMultilevel"/>
    <w:tmpl w:val="8E3C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15:restartNumberingAfterBreak="0">
    <w:nsid w:val="54E76E60"/>
    <w:multiLevelType w:val="hybridMultilevel"/>
    <w:tmpl w:val="402E9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034BD0"/>
    <w:multiLevelType w:val="hybridMultilevel"/>
    <w:tmpl w:val="7DF0F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912821"/>
    <w:multiLevelType w:val="hybridMultilevel"/>
    <w:tmpl w:val="4ED6C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B37FF8"/>
    <w:multiLevelType w:val="hybridMultilevel"/>
    <w:tmpl w:val="46468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5456C"/>
    <w:multiLevelType w:val="hybridMultilevel"/>
    <w:tmpl w:val="8804790C"/>
    <w:lvl w:ilvl="0" w:tplc="A244BD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EA"/>
    <w:rsid w:val="000027AA"/>
    <w:rsid w:val="000072C7"/>
    <w:rsid w:val="000834E4"/>
    <w:rsid w:val="00146B58"/>
    <w:rsid w:val="001F6BA6"/>
    <w:rsid w:val="00233D18"/>
    <w:rsid w:val="00291B6B"/>
    <w:rsid w:val="002D48AA"/>
    <w:rsid w:val="002E0AC1"/>
    <w:rsid w:val="003A373E"/>
    <w:rsid w:val="003B13EA"/>
    <w:rsid w:val="003E74BD"/>
    <w:rsid w:val="0043579C"/>
    <w:rsid w:val="0048282F"/>
    <w:rsid w:val="004D3198"/>
    <w:rsid w:val="005D1994"/>
    <w:rsid w:val="005E6D36"/>
    <w:rsid w:val="00634916"/>
    <w:rsid w:val="006D2701"/>
    <w:rsid w:val="006F518E"/>
    <w:rsid w:val="00741B1C"/>
    <w:rsid w:val="0079392C"/>
    <w:rsid w:val="007A67DC"/>
    <w:rsid w:val="00814D36"/>
    <w:rsid w:val="00832267"/>
    <w:rsid w:val="00884A7E"/>
    <w:rsid w:val="008F270A"/>
    <w:rsid w:val="00983DBF"/>
    <w:rsid w:val="009931E4"/>
    <w:rsid w:val="009D4809"/>
    <w:rsid w:val="00A34FBD"/>
    <w:rsid w:val="00A47BC1"/>
    <w:rsid w:val="00A57265"/>
    <w:rsid w:val="00AE144D"/>
    <w:rsid w:val="00B64819"/>
    <w:rsid w:val="00B84124"/>
    <w:rsid w:val="00BF2852"/>
    <w:rsid w:val="00C071B6"/>
    <w:rsid w:val="00C215C1"/>
    <w:rsid w:val="00C773E0"/>
    <w:rsid w:val="00D0471A"/>
    <w:rsid w:val="00DC4E52"/>
    <w:rsid w:val="00ED361D"/>
    <w:rsid w:val="00ED6809"/>
    <w:rsid w:val="00F2472E"/>
    <w:rsid w:val="00F81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EB6ED"/>
  <w15:docId w15:val="{1F7AE282-35CD-400B-90FC-18BBEB68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265"/>
    <w:pPr>
      <w:ind w:left="720"/>
      <w:contextualSpacing/>
    </w:pPr>
  </w:style>
  <w:style w:type="character" w:styleId="Hyperlink">
    <w:name w:val="Hyperlink"/>
    <w:basedOn w:val="DefaultParagraphFont"/>
    <w:uiPriority w:val="99"/>
    <w:unhideWhenUsed/>
    <w:rsid w:val="00AE144D"/>
    <w:rPr>
      <w:color w:val="0000FF" w:themeColor="hyperlink"/>
      <w:u w:val="single"/>
    </w:rPr>
  </w:style>
  <w:style w:type="paragraph" w:styleId="Header">
    <w:name w:val="header"/>
    <w:basedOn w:val="Normal"/>
    <w:link w:val="HeaderChar"/>
    <w:uiPriority w:val="99"/>
    <w:unhideWhenUsed/>
    <w:rsid w:val="002E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AC1"/>
  </w:style>
  <w:style w:type="paragraph" w:styleId="Footer">
    <w:name w:val="footer"/>
    <w:basedOn w:val="Normal"/>
    <w:link w:val="FooterChar"/>
    <w:uiPriority w:val="99"/>
    <w:unhideWhenUsed/>
    <w:rsid w:val="002E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AC1"/>
  </w:style>
  <w:style w:type="paragraph" w:styleId="BalloonText">
    <w:name w:val="Balloon Text"/>
    <w:basedOn w:val="Normal"/>
    <w:link w:val="BalloonTextChar"/>
    <w:uiPriority w:val="99"/>
    <w:semiHidden/>
    <w:unhideWhenUsed/>
    <w:rsid w:val="00C77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3E0"/>
    <w:rPr>
      <w:rFonts w:ascii="Tahoma" w:hAnsi="Tahoma" w:cs="Tahoma"/>
      <w:sz w:val="16"/>
      <w:szCs w:val="16"/>
    </w:rPr>
  </w:style>
  <w:style w:type="paragraph" w:customStyle="1" w:styleId="Normal1">
    <w:name w:val="Normal1"/>
    <w:rsid w:val="008F27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dcterms:created xsi:type="dcterms:W3CDTF">2020-11-28T22:41:00Z</dcterms:created>
  <dcterms:modified xsi:type="dcterms:W3CDTF">2020-11-28T22:41:00Z</dcterms:modified>
</cp:coreProperties>
</file>