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5680"/>
        <w:gridCol w:w="7270"/>
      </w:tblGrid>
      <w:tr w:rsidR="003B13EA" w14:paraId="62EA1367" w14:textId="77777777" w:rsidTr="009931E4">
        <w:trPr>
          <w:trHeight w:val="229"/>
        </w:trPr>
        <w:tc>
          <w:tcPr>
            <w:tcW w:w="5000" w:type="pct"/>
            <w:gridSpan w:val="2"/>
            <w:shd w:val="clear" w:color="auto" w:fill="1F497D" w:themeFill="text2"/>
          </w:tcPr>
          <w:p w14:paraId="4F9EC8A0" w14:textId="2F5A978B" w:rsidR="003B13EA" w:rsidRDefault="00ED361D" w:rsidP="00A57265">
            <w:pPr>
              <w:jc w:val="center"/>
              <w:rPr>
                <w:b/>
                <w:i/>
                <w:color w:val="FFFFFF" w:themeColor="background1"/>
                <w:sz w:val="28"/>
              </w:rPr>
            </w:pPr>
            <w:r>
              <w:rPr>
                <w:b/>
                <w:i/>
                <w:color w:val="FFFFFF" w:themeColor="background1"/>
                <w:sz w:val="28"/>
              </w:rPr>
              <w:t xml:space="preserve">Middle School Dance Unit </w:t>
            </w:r>
            <w:r w:rsidR="002D48AA">
              <w:rPr>
                <w:b/>
                <w:i/>
                <w:color w:val="FFFFFF" w:themeColor="background1"/>
                <w:sz w:val="28"/>
              </w:rPr>
              <w:t>2</w:t>
            </w:r>
            <w:r>
              <w:rPr>
                <w:b/>
                <w:i/>
                <w:color w:val="FFFFFF" w:themeColor="background1"/>
                <w:sz w:val="28"/>
              </w:rPr>
              <w:t xml:space="preserve">: </w:t>
            </w:r>
            <w:r w:rsidR="00291B6B">
              <w:rPr>
                <w:b/>
                <w:i/>
                <w:color w:val="FFFFFF" w:themeColor="background1"/>
                <w:sz w:val="28"/>
              </w:rPr>
              <w:t>The Creative Process</w:t>
            </w:r>
          </w:p>
          <w:p w14:paraId="19837346" w14:textId="6C860AE3" w:rsidR="00A57265" w:rsidRPr="003B13EA" w:rsidRDefault="00DC4E52" w:rsidP="002D48AA">
            <w:pPr>
              <w:jc w:val="center"/>
              <w:rPr>
                <w:b/>
                <w:i/>
              </w:rPr>
            </w:pPr>
            <w:r>
              <w:rPr>
                <w:b/>
                <w:i/>
                <w:color w:val="FFFFFF" w:themeColor="background1"/>
                <w:sz w:val="28"/>
              </w:rPr>
              <w:t xml:space="preserve">Weeks </w:t>
            </w:r>
            <w:r w:rsidR="002D48AA">
              <w:rPr>
                <w:b/>
                <w:i/>
                <w:color w:val="FFFFFF" w:themeColor="background1"/>
                <w:sz w:val="28"/>
              </w:rPr>
              <w:t>7</w:t>
            </w:r>
            <w:r>
              <w:rPr>
                <w:b/>
                <w:i/>
                <w:color w:val="FFFFFF" w:themeColor="background1"/>
                <w:sz w:val="28"/>
              </w:rPr>
              <w:t xml:space="preserve"> through </w:t>
            </w:r>
            <w:r w:rsidR="002D48AA">
              <w:rPr>
                <w:b/>
                <w:i/>
                <w:color w:val="FFFFFF" w:themeColor="background1"/>
                <w:sz w:val="28"/>
              </w:rPr>
              <w:t>12</w:t>
            </w:r>
          </w:p>
        </w:tc>
      </w:tr>
      <w:tr w:rsidR="003B13EA" w14:paraId="3EA7D626" w14:textId="77777777" w:rsidTr="000072C7">
        <w:trPr>
          <w:trHeight w:val="1133"/>
        </w:trPr>
        <w:tc>
          <w:tcPr>
            <w:tcW w:w="5000" w:type="pct"/>
            <w:gridSpan w:val="2"/>
          </w:tcPr>
          <w:p w14:paraId="48F7417E" w14:textId="42377B51" w:rsidR="003B13EA" w:rsidRDefault="003B13EA">
            <w:pPr>
              <w:rPr>
                <w:color w:val="1F497D" w:themeColor="text2"/>
              </w:rPr>
            </w:pPr>
            <w:r w:rsidRPr="00B64819">
              <w:rPr>
                <w:b/>
                <w:color w:val="1F497D" w:themeColor="text2"/>
                <w:u w:val="single"/>
              </w:rPr>
              <w:t>Targeted Standards</w:t>
            </w:r>
            <w:r w:rsidRPr="00B64819">
              <w:rPr>
                <w:color w:val="1F497D" w:themeColor="text2"/>
              </w:rPr>
              <w:t xml:space="preserve"> </w:t>
            </w:r>
          </w:p>
          <w:p w14:paraId="1629677A" w14:textId="77777777" w:rsidR="00291B6B" w:rsidRPr="006D6580" w:rsidRDefault="00291B6B" w:rsidP="00291B6B">
            <w:pPr>
              <w:spacing w:before="40" w:after="40"/>
              <w:rPr>
                <w:b/>
              </w:rPr>
            </w:pPr>
            <w:r w:rsidRPr="004F6B89">
              <w:rPr>
                <w:b/>
                <w:bCs/>
              </w:rPr>
              <w:t xml:space="preserve">1.1 The Creative Process: </w:t>
            </w:r>
            <w:r w:rsidRPr="004F6B89">
              <w:t>All students will demonstrate an understanding of the elements and principles that govern the creation of works of art in dance, music, theatre, and visual art.</w:t>
            </w:r>
          </w:p>
          <w:p w14:paraId="0C65F655" w14:textId="77777777" w:rsidR="000027AA" w:rsidRDefault="000027AA" w:rsidP="000027AA"/>
        </w:tc>
      </w:tr>
      <w:tr w:rsidR="00634916" w14:paraId="709D8268" w14:textId="77777777" w:rsidTr="000072C7">
        <w:trPr>
          <w:trHeight w:val="1133"/>
        </w:trPr>
        <w:tc>
          <w:tcPr>
            <w:tcW w:w="5000" w:type="pct"/>
            <w:gridSpan w:val="2"/>
          </w:tcPr>
          <w:p w14:paraId="47CF3D48" w14:textId="2BCEBF19" w:rsidR="009931E4" w:rsidRPr="00B64819" w:rsidRDefault="00B64819" w:rsidP="00C071B6">
            <w:pPr>
              <w:rPr>
                <w:color w:val="1F497D" w:themeColor="text2"/>
                <w:sz w:val="20"/>
              </w:rPr>
            </w:pPr>
            <w:r w:rsidRPr="00B64819">
              <w:rPr>
                <w:b/>
                <w:color w:val="1F497D" w:themeColor="text2"/>
                <w:sz w:val="20"/>
                <w:szCs w:val="20"/>
                <w:u w:val="single"/>
              </w:rPr>
              <w:t>Rationale and Transfer Goals</w:t>
            </w:r>
            <w:r w:rsidRPr="00B64819">
              <w:rPr>
                <w:color w:val="1F497D" w:themeColor="text2"/>
                <w:sz w:val="20"/>
                <w:szCs w:val="20"/>
              </w:rPr>
              <w:t xml:space="preserve">: </w:t>
            </w:r>
          </w:p>
          <w:p w14:paraId="6FFDD726" w14:textId="77777777" w:rsidR="00291B6B" w:rsidRPr="00732B61" w:rsidRDefault="00291B6B" w:rsidP="00291B6B">
            <w:pPr>
              <w:spacing w:before="40" w:after="40"/>
              <w:rPr>
                <w:szCs w:val="28"/>
              </w:rPr>
            </w:pPr>
            <w:r>
              <w:rPr>
                <w:szCs w:val="28"/>
              </w:rPr>
              <w:t>Students will explore the many purposes of dance, looking specifically at the means by which it engages the audience, conveys meaning, and communicates emotion.  An exploration of choreographic principles and structures will help to support this learning goal, as will a brief review of the styles and structures of dance that were introduced in the first unit of study.</w:t>
            </w:r>
          </w:p>
          <w:p w14:paraId="60A60185" w14:textId="77777777" w:rsidR="009931E4" w:rsidRDefault="009931E4" w:rsidP="00C071B6">
            <w:pPr>
              <w:rPr>
                <w:sz w:val="20"/>
              </w:rPr>
            </w:pPr>
          </w:p>
          <w:p w14:paraId="05462F9E" w14:textId="71FFFDCB" w:rsidR="002D48AA" w:rsidRPr="002D48AA" w:rsidRDefault="00291B6B" w:rsidP="002D48AA">
            <w:pPr>
              <w:spacing w:before="40" w:after="40"/>
              <w:rPr>
                <w:szCs w:val="28"/>
              </w:rPr>
            </w:pPr>
            <w:r>
              <w:rPr>
                <w:szCs w:val="28"/>
              </w:rPr>
              <w:t>In order to better understand how dance reaches its audience and helps them to create meaning, it is important to understand the underpinnings of choreography across dance styles.  Students can then engage in analysis of dance and well as undertake the creative process in order to develop a dance that fulfills its intended purpose.</w:t>
            </w:r>
          </w:p>
        </w:tc>
      </w:tr>
      <w:tr w:rsidR="009D4809" w14:paraId="5F7DD9DC" w14:textId="77777777" w:rsidTr="000072C7">
        <w:trPr>
          <w:trHeight w:val="904"/>
        </w:trPr>
        <w:tc>
          <w:tcPr>
            <w:tcW w:w="5000" w:type="pct"/>
            <w:gridSpan w:val="2"/>
          </w:tcPr>
          <w:p w14:paraId="65A0D0F5" w14:textId="242BFD9E" w:rsidR="009D4809" w:rsidRPr="00B64819" w:rsidRDefault="009D4809">
            <w:pPr>
              <w:rPr>
                <w:color w:val="1F497D" w:themeColor="text2"/>
              </w:rPr>
            </w:pPr>
            <w:r w:rsidRPr="00B64819">
              <w:rPr>
                <w:b/>
                <w:color w:val="1F497D" w:themeColor="text2"/>
                <w:u w:val="single"/>
              </w:rPr>
              <w:t>Enduring Understandings:</w:t>
            </w:r>
            <w:r w:rsidRPr="00B64819">
              <w:rPr>
                <w:color w:val="1F497D" w:themeColor="text2"/>
              </w:rPr>
              <w:t xml:space="preserve"> </w:t>
            </w:r>
          </w:p>
          <w:p w14:paraId="531CC17F" w14:textId="1138104A" w:rsidR="00291B6B" w:rsidRDefault="00291B6B">
            <w:r>
              <w:t>Dancers participate in a create process with clear points between imagination and movement in a dance studio or other dance location</w:t>
            </w:r>
          </w:p>
          <w:p w14:paraId="5C623E28" w14:textId="2ED5909F" w:rsidR="00A57265" w:rsidRDefault="00291B6B">
            <w:r>
              <w:t>Choreographers and dancers work as a team to create art</w:t>
            </w:r>
          </w:p>
          <w:p w14:paraId="1272F717" w14:textId="77777777" w:rsidR="009D4809" w:rsidRDefault="009D4809"/>
        </w:tc>
      </w:tr>
      <w:tr w:rsidR="009D4809" w14:paraId="3B214C78" w14:textId="77777777" w:rsidTr="000072C7">
        <w:trPr>
          <w:trHeight w:val="904"/>
        </w:trPr>
        <w:tc>
          <w:tcPr>
            <w:tcW w:w="5000" w:type="pct"/>
            <w:gridSpan w:val="2"/>
          </w:tcPr>
          <w:p w14:paraId="7A1BC913" w14:textId="64D9D252" w:rsidR="009D4809" w:rsidRPr="00B64819" w:rsidRDefault="009D4809">
            <w:pPr>
              <w:rPr>
                <w:color w:val="1F497D" w:themeColor="text2"/>
              </w:rPr>
            </w:pPr>
            <w:r w:rsidRPr="00B64819">
              <w:rPr>
                <w:b/>
                <w:color w:val="1F497D" w:themeColor="text2"/>
                <w:u w:val="single"/>
              </w:rPr>
              <w:t>Essential Questions</w:t>
            </w:r>
            <w:r w:rsidRPr="00B64819">
              <w:rPr>
                <w:color w:val="1F497D" w:themeColor="text2"/>
              </w:rPr>
              <w:t xml:space="preserve">: </w:t>
            </w:r>
          </w:p>
          <w:p w14:paraId="16FDDD49" w14:textId="09A4F9D7" w:rsidR="00A57265" w:rsidRDefault="00291B6B">
            <w:r>
              <w:t>What creative processes work best in which situations and for which people, and which work best for me?</w:t>
            </w:r>
          </w:p>
          <w:p w14:paraId="4D36672F" w14:textId="4D5F2705" w:rsidR="00A57265" w:rsidRDefault="00291B6B">
            <w:r>
              <w:t>How do choreographers and dancers work together?</w:t>
            </w:r>
          </w:p>
        </w:tc>
      </w:tr>
      <w:tr w:rsidR="00ED361D" w14:paraId="426A31D8" w14:textId="77777777" w:rsidTr="00ED361D">
        <w:trPr>
          <w:trHeight w:val="229"/>
        </w:trPr>
        <w:tc>
          <w:tcPr>
            <w:tcW w:w="5000" w:type="pct"/>
            <w:gridSpan w:val="2"/>
            <w:shd w:val="clear" w:color="auto" w:fill="1F497D" w:themeFill="text2"/>
          </w:tcPr>
          <w:p w14:paraId="3BEB06A1" w14:textId="2E44ED17" w:rsidR="00ED361D" w:rsidRPr="000072C7" w:rsidRDefault="00ED361D" w:rsidP="009D4809">
            <w:pPr>
              <w:jc w:val="center"/>
              <w:rPr>
                <w:b/>
                <w:color w:val="FFFFFF" w:themeColor="background1"/>
                <w:sz w:val="24"/>
              </w:rPr>
            </w:pPr>
            <w:r w:rsidRPr="000072C7">
              <w:rPr>
                <w:b/>
                <w:color w:val="FFFFFF" w:themeColor="background1"/>
                <w:sz w:val="24"/>
              </w:rPr>
              <w:t>Content/Objectives</w:t>
            </w:r>
          </w:p>
        </w:tc>
      </w:tr>
      <w:tr w:rsidR="00ED361D" w14:paraId="0E1F102A" w14:textId="77777777" w:rsidTr="00ED361D">
        <w:trPr>
          <w:trHeight w:val="216"/>
        </w:trPr>
        <w:tc>
          <w:tcPr>
            <w:tcW w:w="2193" w:type="pct"/>
          </w:tcPr>
          <w:p w14:paraId="7F06FFC2" w14:textId="77777777" w:rsidR="00ED361D" w:rsidRDefault="00ED361D" w:rsidP="008F270A">
            <w:pPr>
              <w:jc w:val="center"/>
              <w:rPr>
                <w:b/>
              </w:rPr>
            </w:pPr>
            <w:r w:rsidRPr="009D4809">
              <w:rPr>
                <w:b/>
              </w:rPr>
              <w:t>Content</w:t>
            </w:r>
          </w:p>
          <w:p w14:paraId="4A8EC2F1" w14:textId="2F4FB989" w:rsidR="00ED361D" w:rsidRPr="00566E5B" w:rsidRDefault="00ED361D" w:rsidP="008F270A">
            <w:pPr>
              <w:jc w:val="center"/>
              <w:rPr>
                <w:b/>
                <w:i/>
              </w:rPr>
            </w:pPr>
            <w:r w:rsidRPr="00566E5B">
              <w:rPr>
                <w:b/>
                <w:i/>
              </w:rPr>
              <w:t>What students will kno</w:t>
            </w:r>
            <w:r>
              <w:rPr>
                <w:b/>
                <w:i/>
              </w:rPr>
              <w:t>w</w:t>
            </w:r>
          </w:p>
        </w:tc>
        <w:tc>
          <w:tcPr>
            <w:tcW w:w="2807" w:type="pct"/>
          </w:tcPr>
          <w:p w14:paraId="5111622A" w14:textId="77777777" w:rsidR="00ED361D" w:rsidRDefault="00ED361D" w:rsidP="008F270A">
            <w:pPr>
              <w:jc w:val="center"/>
              <w:rPr>
                <w:b/>
              </w:rPr>
            </w:pPr>
            <w:r w:rsidRPr="009D4809">
              <w:rPr>
                <w:b/>
              </w:rPr>
              <w:t>Skills</w:t>
            </w:r>
          </w:p>
          <w:p w14:paraId="7A684B56" w14:textId="208D817B" w:rsidR="00ED361D" w:rsidRPr="00566E5B" w:rsidRDefault="00ED361D" w:rsidP="00ED361D">
            <w:pPr>
              <w:jc w:val="center"/>
              <w:rPr>
                <w:b/>
                <w:i/>
              </w:rPr>
            </w:pPr>
            <w:r w:rsidRPr="00566E5B">
              <w:rPr>
                <w:b/>
                <w:i/>
              </w:rPr>
              <w:t>What students will be able to do</w:t>
            </w:r>
          </w:p>
        </w:tc>
      </w:tr>
      <w:tr w:rsidR="00ED361D" w14:paraId="21DA5491" w14:textId="77777777" w:rsidTr="00ED361D">
        <w:trPr>
          <w:trHeight w:val="130"/>
        </w:trPr>
        <w:tc>
          <w:tcPr>
            <w:tcW w:w="2193" w:type="pct"/>
          </w:tcPr>
          <w:p w14:paraId="13B22B8F" w14:textId="6F7D73C1" w:rsidR="00291B6B" w:rsidRPr="00291B6B" w:rsidRDefault="00291B6B" w:rsidP="00291B6B">
            <w:pPr>
              <w:numPr>
                <w:ilvl w:val="0"/>
                <w:numId w:val="4"/>
              </w:numPr>
              <w:spacing w:before="40" w:after="40"/>
              <w:rPr>
                <w:rFonts w:cs="Function-Oblique"/>
                <w:iCs/>
              </w:rPr>
            </w:pPr>
            <w:r w:rsidRPr="00291B6B">
              <w:t>Numerous formal choreographic structures can be used to develop the elements of dance</w:t>
            </w:r>
            <w:r>
              <w:t xml:space="preserve"> in the creation of dance works</w:t>
            </w:r>
          </w:p>
          <w:p w14:paraId="353DD854" w14:textId="094BFEFE" w:rsidR="00291B6B" w:rsidRPr="00291B6B" w:rsidRDefault="00291B6B" w:rsidP="00291B6B">
            <w:pPr>
              <w:numPr>
                <w:ilvl w:val="0"/>
                <w:numId w:val="4"/>
              </w:numPr>
              <w:spacing w:before="40" w:after="40"/>
              <w:rPr>
                <w:rFonts w:cs="Function-Oblique"/>
                <w:iCs/>
              </w:rPr>
            </w:pPr>
            <w:r w:rsidRPr="00291B6B">
              <w:t>Styles and techniques in dance are defined by the ways in which the elements of dance and choreographic principles are manipulated in the creation of dance c</w:t>
            </w:r>
            <w:r>
              <w:t>ompositions</w:t>
            </w:r>
          </w:p>
          <w:p w14:paraId="20A0DE04" w14:textId="38EE583D" w:rsidR="00291B6B" w:rsidRPr="00291B6B" w:rsidRDefault="00291B6B" w:rsidP="00291B6B">
            <w:pPr>
              <w:numPr>
                <w:ilvl w:val="0"/>
                <w:numId w:val="4"/>
              </w:numPr>
              <w:spacing w:before="40" w:after="40"/>
              <w:rPr>
                <w:rFonts w:cs="Function-Oblique"/>
                <w:iCs/>
              </w:rPr>
            </w:pPr>
            <w:r w:rsidRPr="00291B6B">
              <w:lastRenderedPageBreak/>
              <w:t>Dance employs various themes and arts media to engage the viewer, develop me</w:t>
            </w:r>
            <w:r>
              <w:t>aning, and communicate emotions</w:t>
            </w:r>
          </w:p>
          <w:p w14:paraId="2AC28EB6" w14:textId="7C63D930" w:rsidR="00ED361D" w:rsidRPr="00291B6B" w:rsidRDefault="00291B6B" w:rsidP="00291B6B">
            <w:pPr>
              <w:numPr>
                <w:ilvl w:val="0"/>
                <w:numId w:val="4"/>
              </w:numPr>
              <w:spacing w:before="40" w:after="40"/>
              <w:rPr>
                <w:rFonts w:cs="Function-Oblique"/>
                <w:iCs/>
              </w:rPr>
            </w:pPr>
            <w:r w:rsidRPr="00291B6B">
              <w:t>The quality of integrated movement depends on body alignment and the synchronized use of major and minor muscle groups. Variety in body patterns, range of motion, application of the elements of dance, and skill level enhance dan</w:t>
            </w:r>
            <w:r>
              <w:t>ce compositions and performance</w:t>
            </w:r>
          </w:p>
          <w:p w14:paraId="04E99405" w14:textId="77777777" w:rsidR="00ED361D" w:rsidRPr="00291B6B" w:rsidRDefault="00ED361D"/>
        </w:tc>
        <w:tc>
          <w:tcPr>
            <w:tcW w:w="2807" w:type="pct"/>
          </w:tcPr>
          <w:p w14:paraId="3D2C92DA" w14:textId="3ACEAB4D" w:rsidR="00291B6B" w:rsidRDefault="00291B6B">
            <w:r w:rsidRPr="00291B6B">
              <w:lastRenderedPageBreak/>
              <w:t>Interpret the choreographic structures of contrast and transition, the process of reordering and chance, and the structures of AB, ABA, canon, call and response, and narrative</w:t>
            </w:r>
          </w:p>
          <w:p w14:paraId="258E69F0" w14:textId="77777777" w:rsidR="00291B6B" w:rsidRPr="00291B6B" w:rsidRDefault="00291B6B"/>
          <w:p w14:paraId="19BF4236" w14:textId="306C4908" w:rsidR="00291B6B" w:rsidRPr="00291B6B" w:rsidRDefault="00291B6B">
            <w:r w:rsidRPr="00291B6B">
              <w:t>Analyze dance techniques and styles to discern the compositional use of the elements of dance and choreographic principles relating to dynamics, as well as to discern spatial relationships</w:t>
            </w:r>
          </w:p>
          <w:p w14:paraId="595BD99F" w14:textId="77777777" w:rsidR="00291B6B" w:rsidRPr="00291B6B" w:rsidRDefault="00291B6B"/>
          <w:p w14:paraId="6168ACA0" w14:textId="7118F386" w:rsidR="00291B6B" w:rsidRPr="00291B6B" w:rsidRDefault="00291B6B">
            <w:r w:rsidRPr="00291B6B">
              <w:lastRenderedPageBreak/>
              <w:t>Examine how dance compositions are influenced by various social themes and arts media (e.g., dance for camera, interactive, telematics)</w:t>
            </w:r>
          </w:p>
          <w:p w14:paraId="3B10D54E" w14:textId="77777777" w:rsidR="00291B6B" w:rsidRPr="00291B6B" w:rsidRDefault="00291B6B"/>
          <w:p w14:paraId="4A2BBD82" w14:textId="77777777" w:rsidR="002D48AA" w:rsidRDefault="00291B6B" w:rsidP="002D48AA">
            <w:r w:rsidRPr="00291B6B">
              <w:t xml:space="preserve"> Integrate a variety of isolated and coordinated movements in dance compositions and performances, making use of all major muscle groups, proper body mechanics, body patterning, balance, and range of motion</w:t>
            </w:r>
          </w:p>
          <w:p w14:paraId="4AA0571E" w14:textId="77777777" w:rsidR="002D48AA" w:rsidRDefault="002D48AA" w:rsidP="002D48AA"/>
          <w:p w14:paraId="6E403798" w14:textId="77777777" w:rsidR="002D48AA" w:rsidRDefault="002D48AA" w:rsidP="002D48AA">
            <w:r w:rsidRPr="002D48AA">
              <w:t>Use improvisation (free and structured) to</w:t>
            </w:r>
            <w:r>
              <w:t xml:space="preserve"> discover and generate movement</w:t>
            </w:r>
          </w:p>
          <w:p w14:paraId="46C3D0F7" w14:textId="77777777" w:rsidR="002D48AA" w:rsidRDefault="002D48AA" w:rsidP="002D48AA"/>
          <w:p w14:paraId="299AC858" w14:textId="77777777" w:rsidR="002D48AA" w:rsidRDefault="002D48AA" w:rsidP="002D48AA">
            <w:r w:rsidRPr="002D48AA">
              <w:t>Recognize and explain how the creative process in dance is influen</w:t>
            </w:r>
            <w:r>
              <w:t>ced by personal movement styles</w:t>
            </w:r>
          </w:p>
          <w:p w14:paraId="78516D70" w14:textId="77777777" w:rsidR="002D48AA" w:rsidRDefault="002D48AA" w:rsidP="002D48AA"/>
          <w:p w14:paraId="3B1002FD" w14:textId="35D78F21" w:rsidR="002D48AA" w:rsidRDefault="002D48AA" w:rsidP="002D48AA">
            <w:r w:rsidRPr="002D48AA">
              <w:t>Demonstrate through the creative process an understanding of the elements and principles of artistic design in original two- and three- dimensional artworks.</w:t>
            </w:r>
          </w:p>
          <w:p w14:paraId="66E05F7D" w14:textId="77777777" w:rsidR="002D48AA" w:rsidRPr="002D48AA" w:rsidRDefault="002D48AA" w:rsidP="002D48AA"/>
          <w:p w14:paraId="23CA4589" w14:textId="704F6971" w:rsidR="002D48AA" w:rsidRPr="00291B6B" w:rsidRDefault="002D48AA" w:rsidP="002D48AA">
            <w:r w:rsidRPr="002D48AA">
              <w:t>Define and identify basic choreographic principles through ballet, jazz, modern and hip-hop</w:t>
            </w:r>
          </w:p>
        </w:tc>
      </w:tr>
      <w:tr w:rsidR="00634916" w14:paraId="1E5F1F15" w14:textId="77777777" w:rsidTr="000072C7">
        <w:trPr>
          <w:trHeight w:val="122"/>
        </w:trPr>
        <w:tc>
          <w:tcPr>
            <w:tcW w:w="5000" w:type="pct"/>
            <w:gridSpan w:val="2"/>
          </w:tcPr>
          <w:p w14:paraId="39D468B1" w14:textId="3204AC44" w:rsidR="00634916" w:rsidRDefault="00634916">
            <w:pPr>
              <w:rPr>
                <w:color w:val="1F497D" w:themeColor="text2"/>
              </w:rPr>
            </w:pPr>
            <w:r>
              <w:rPr>
                <w:b/>
                <w:u w:val="single"/>
              </w:rPr>
              <w:lastRenderedPageBreak/>
              <w:t>21</w:t>
            </w:r>
            <w:r w:rsidRPr="00634916">
              <w:rPr>
                <w:b/>
                <w:u w:val="single"/>
                <w:vertAlign w:val="superscript"/>
              </w:rPr>
              <w:t>st</w:t>
            </w:r>
            <w:r>
              <w:rPr>
                <w:b/>
                <w:u w:val="single"/>
              </w:rPr>
              <w:t xml:space="preserve"> Century Skills:</w:t>
            </w:r>
            <w:r>
              <w:t xml:space="preserve"> </w:t>
            </w:r>
          </w:p>
          <w:p w14:paraId="66CE7F5D" w14:textId="77777777" w:rsidR="002D48AA" w:rsidRPr="00732B61" w:rsidRDefault="002D48AA" w:rsidP="002D48AA">
            <w:pPr>
              <w:spacing w:before="40" w:after="40"/>
            </w:pPr>
            <w:r w:rsidRPr="00732B61">
              <w:t>CRP2. Apply appropriate academic and technical skills.</w:t>
            </w:r>
          </w:p>
          <w:p w14:paraId="1AF903EE" w14:textId="77777777" w:rsidR="002D48AA" w:rsidRPr="00732B61" w:rsidRDefault="002D48AA" w:rsidP="002D48AA">
            <w:pPr>
              <w:spacing w:before="40" w:after="40"/>
            </w:pPr>
            <w:r w:rsidRPr="00732B61">
              <w:t>CRP4. Communicate clearly and effectively and with reason.</w:t>
            </w:r>
          </w:p>
          <w:p w14:paraId="5E187F93" w14:textId="77777777" w:rsidR="002D48AA" w:rsidRPr="00732B61" w:rsidRDefault="002D48AA" w:rsidP="002D48AA">
            <w:pPr>
              <w:spacing w:before="40" w:after="40"/>
            </w:pPr>
            <w:r w:rsidRPr="00732B61">
              <w:t>CRP6. Demonstrate creativity and innovation.</w:t>
            </w:r>
          </w:p>
          <w:p w14:paraId="6CE31A7E" w14:textId="77777777" w:rsidR="002D48AA" w:rsidRPr="00732B61" w:rsidRDefault="002D48AA" w:rsidP="002D48AA">
            <w:pPr>
              <w:spacing w:before="40" w:after="40"/>
              <w:rPr>
                <w:b/>
              </w:rPr>
            </w:pPr>
            <w:r w:rsidRPr="00732B61">
              <w:t>CRP8. Utilize critical thinking to make sense of problems and persevere in solving them.</w:t>
            </w:r>
          </w:p>
          <w:p w14:paraId="24C11569" w14:textId="77777777" w:rsidR="001F6BA6" w:rsidRPr="00634916" w:rsidRDefault="001F6BA6"/>
        </w:tc>
      </w:tr>
      <w:tr w:rsidR="009D4809" w14:paraId="569A3DD7" w14:textId="77777777" w:rsidTr="000072C7">
        <w:trPr>
          <w:trHeight w:val="122"/>
        </w:trPr>
        <w:tc>
          <w:tcPr>
            <w:tcW w:w="5000" w:type="pct"/>
            <w:gridSpan w:val="2"/>
          </w:tcPr>
          <w:p w14:paraId="42383C79" w14:textId="784C193D" w:rsidR="009D4809" w:rsidRDefault="009D4809">
            <w:r w:rsidRPr="009D4809">
              <w:rPr>
                <w:b/>
                <w:u w:val="single"/>
              </w:rPr>
              <w:t>Key resources:</w:t>
            </w:r>
            <w:r>
              <w:t xml:space="preserve">  </w:t>
            </w:r>
          </w:p>
          <w:p w14:paraId="1A711EB1" w14:textId="00B32493" w:rsidR="00233D18" w:rsidRDefault="00233D18">
            <w:pPr>
              <w:rPr>
                <w:color w:val="1F497D" w:themeColor="text2"/>
              </w:rPr>
            </w:pPr>
            <w:r>
              <w:t>Teacher-developed</w:t>
            </w:r>
          </w:p>
          <w:p w14:paraId="0274D19E" w14:textId="77777777" w:rsidR="001F6BA6" w:rsidRDefault="001F6BA6"/>
        </w:tc>
      </w:tr>
      <w:tr w:rsidR="00A34FBD" w14:paraId="1F8F5FD8" w14:textId="77777777" w:rsidTr="000072C7">
        <w:trPr>
          <w:trHeight w:val="122"/>
        </w:trPr>
        <w:tc>
          <w:tcPr>
            <w:tcW w:w="5000" w:type="pct"/>
            <w:gridSpan w:val="2"/>
          </w:tcPr>
          <w:p w14:paraId="5A5C92EC" w14:textId="021B0808" w:rsidR="00A34FBD" w:rsidRDefault="00A34FBD">
            <w:pPr>
              <w:rPr>
                <w:color w:val="1F497D" w:themeColor="text2"/>
              </w:rPr>
            </w:pPr>
            <w:r>
              <w:rPr>
                <w:b/>
                <w:u w:val="single"/>
              </w:rPr>
              <w:t>Interdisciplinary Connections</w:t>
            </w:r>
            <w:r>
              <w:t xml:space="preserve"> </w:t>
            </w:r>
          </w:p>
          <w:p w14:paraId="4B01E420" w14:textId="1D3828F5" w:rsidR="00233D18" w:rsidRPr="00233D18" w:rsidRDefault="00233D18">
            <w:r w:rsidRPr="00233D18">
              <w:t>Connections to visual, musical, and theater arts</w:t>
            </w:r>
          </w:p>
          <w:p w14:paraId="22996B14" w14:textId="77777777" w:rsidR="00233D18" w:rsidRPr="00233D18" w:rsidRDefault="00233D18">
            <w:r w:rsidRPr="00233D18">
              <w:t>Reading and writing in the content area</w:t>
            </w:r>
          </w:p>
          <w:p w14:paraId="0CFB5B4E" w14:textId="77777777" w:rsidR="00233D18" w:rsidRPr="00233D18" w:rsidRDefault="00233D18">
            <w:r w:rsidRPr="00233D18">
              <w:t>Historical connections to context of dance</w:t>
            </w:r>
          </w:p>
          <w:p w14:paraId="08076A8D" w14:textId="5F7C49C9" w:rsidR="008F270A" w:rsidRPr="002D48AA" w:rsidRDefault="00233D18">
            <w:r w:rsidRPr="00233D18">
              <w:t>Science of movement, anatomy and physiology</w:t>
            </w:r>
          </w:p>
        </w:tc>
      </w:tr>
    </w:tbl>
    <w:p w14:paraId="0BBDA427" w14:textId="0E87F9D3" w:rsidR="00D0471A" w:rsidRDefault="00D0471A" w:rsidP="00D0471A">
      <w:pPr>
        <w:pStyle w:val="Footer"/>
        <w:jc w:val="center"/>
      </w:pPr>
    </w:p>
    <w:sectPr w:rsidR="00D0471A" w:rsidSect="001F6BA6">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6D451" w14:textId="77777777" w:rsidR="00897087" w:rsidRDefault="00897087" w:rsidP="002E0AC1">
      <w:pPr>
        <w:spacing w:after="0" w:line="240" w:lineRule="auto"/>
      </w:pPr>
      <w:r>
        <w:separator/>
      </w:r>
    </w:p>
  </w:endnote>
  <w:endnote w:type="continuationSeparator" w:id="0">
    <w:p w14:paraId="45E93E44" w14:textId="77777777" w:rsidR="00897087" w:rsidRDefault="00897087" w:rsidP="002E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Function-Oblique">
    <w:altName w:val="Times New Roman"/>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B2B9B" w14:textId="77777777" w:rsidR="003073CF" w:rsidRDefault="00307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5231" w14:textId="77777777" w:rsidR="00291B6B" w:rsidRDefault="00291B6B" w:rsidP="00C7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6078" w14:textId="77777777" w:rsidR="003073CF" w:rsidRDefault="00307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BECAC" w14:textId="77777777" w:rsidR="00897087" w:rsidRDefault="00897087" w:rsidP="002E0AC1">
      <w:pPr>
        <w:spacing w:after="0" w:line="240" w:lineRule="auto"/>
      </w:pPr>
      <w:r>
        <w:separator/>
      </w:r>
    </w:p>
  </w:footnote>
  <w:footnote w:type="continuationSeparator" w:id="0">
    <w:p w14:paraId="0F5E0D3D" w14:textId="77777777" w:rsidR="00897087" w:rsidRDefault="00897087" w:rsidP="002E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81449" w14:textId="77777777" w:rsidR="003073CF" w:rsidRDefault="00307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A3C60" w14:textId="2EA6B929" w:rsidR="00291B6B" w:rsidRDefault="00291B6B" w:rsidP="00C773E0">
    <w:pPr>
      <w:pStyle w:val="Header"/>
      <w:jc w:val="center"/>
    </w:pPr>
    <w:bookmarkStart w:id="0" w:name="_GoBack"/>
    <w:bookmarkEnd w:id="0"/>
  </w:p>
  <w:p w14:paraId="7A3B1B85" w14:textId="77777777" w:rsidR="00291B6B" w:rsidRDefault="00291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06255" w14:textId="77777777" w:rsidR="003073CF" w:rsidRDefault="00307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D1E"/>
    <w:multiLevelType w:val="hybridMultilevel"/>
    <w:tmpl w:val="8E3C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E76E60"/>
    <w:multiLevelType w:val="hybridMultilevel"/>
    <w:tmpl w:val="402E9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6912821"/>
    <w:multiLevelType w:val="hybridMultilevel"/>
    <w:tmpl w:val="4ED6C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B37FF8"/>
    <w:multiLevelType w:val="hybridMultilevel"/>
    <w:tmpl w:val="46468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55456C"/>
    <w:multiLevelType w:val="hybridMultilevel"/>
    <w:tmpl w:val="8804790C"/>
    <w:lvl w:ilvl="0" w:tplc="A244BD3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EA"/>
    <w:rsid w:val="000027AA"/>
    <w:rsid w:val="000072C7"/>
    <w:rsid w:val="000834E4"/>
    <w:rsid w:val="00146B58"/>
    <w:rsid w:val="001F6BA6"/>
    <w:rsid w:val="00233D18"/>
    <w:rsid w:val="00291B6B"/>
    <w:rsid w:val="002D48AA"/>
    <w:rsid w:val="002E0AC1"/>
    <w:rsid w:val="003073CF"/>
    <w:rsid w:val="003A373E"/>
    <w:rsid w:val="003B13EA"/>
    <w:rsid w:val="0043579C"/>
    <w:rsid w:val="0048282F"/>
    <w:rsid w:val="004D3198"/>
    <w:rsid w:val="005D1994"/>
    <w:rsid w:val="005E6D36"/>
    <w:rsid w:val="00634916"/>
    <w:rsid w:val="006D2701"/>
    <w:rsid w:val="006F518E"/>
    <w:rsid w:val="00741B1C"/>
    <w:rsid w:val="0079392C"/>
    <w:rsid w:val="00814D36"/>
    <w:rsid w:val="00832267"/>
    <w:rsid w:val="00884A7E"/>
    <w:rsid w:val="00897087"/>
    <w:rsid w:val="008F270A"/>
    <w:rsid w:val="00901BE5"/>
    <w:rsid w:val="00983DBF"/>
    <w:rsid w:val="009931E4"/>
    <w:rsid w:val="009D4809"/>
    <w:rsid w:val="00A34FBD"/>
    <w:rsid w:val="00A57265"/>
    <w:rsid w:val="00AE144D"/>
    <w:rsid w:val="00B64819"/>
    <w:rsid w:val="00B84124"/>
    <w:rsid w:val="00C071B6"/>
    <w:rsid w:val="00C215C1"/>
    <w:rsid w:val="00C773E0"/>
    <w:rsid w:val="00D0471A"/>
    <w:rsid w:val="00DC4E52"/>
    <w:rsid w:val="00DE084C"/>
    <w:rsid w:val="00ED361D"/>
    <w:rsid w:val="00ED6809"/>
    <w:rsid w:val="00F24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4EB6ED"/>
  <w15:docId w15:val="{68072884-73F7-4134-B2CE-E6A8F911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265"/>
    <w:pPr>
      <w:ind w:left="720"/>
      <w:contextualSpacing/>
    </w:pPr>
  </w:style>
  <w:style w:type="character" w:styleId="Hyperlink">
    <w:name w:val="Hyperlink"/>
    <w:basedOn w:val="DefaultParagraphFont"/>
    <w:uiPriority w:val="99"/>
    <w:unhideWhenUsed/>
    <w:rsid w:val="00AE144D"/>
    <w:rPr>
      <w:color w:val="0000FF" w:themeColor="hyperlink"/>
      <w:u w:val="single"/>
    </w:rPr>
  </w:style>
  <w:style w:type="paragraph" w:styleId="Header">
    <w:name w:val="header"/>
    <w:basedOn w:val="Normal"/>
    <w:link w:val="HeaderChar"/>
    <w:uiPriority w:val="99"/>
    <w:unhideWhenUsed/>
    <w:rsid w:val="002E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AC1"/>
  </w:style>
  <w:style w:type="paragraph" w:styleId="Footer">
    <w:name w:val="footer"/>
    <w:basedOn w:val="Normal"/>
    <w:link w:val="FooterChar"/>
    <w:uiPriority w:val="99"/>
    <w:unhideWhenUsed/>
    <w:rsid w:val="002E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AC1"/>
  </w:style>
  <w:style w:type="paragraph" w:styleId="BalloonText">
    <w:name w:val="Balloon Text"/>
    <w:basedOn w:val="Normal"/>
    <w:link w:val="BalloonTextChar"/>
    <w:uiPriority w:val="99"/>
    <w:semiHidden/>
    <w:unhideWhenUsed/>
    <w:rsid w:val="00C77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3E0"/>
    <w:rPr>
      <w:rFonts w:ascii="Tahoma" w:hAnsi="Tahoma" w:cs="Tahoma"/>
      <w:sz w:val="16"/>
      <w:szCs w:val="16"/>
    </w:rPr>
  </w:style>
  <w:style w:type="paragraph" w:customStyle="1" w:styleId="Normal1">
    <w:name w:val="Normal1"/>
    <w:rsid w:val="008F270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LPS</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cp:revision>
  <dcterms:created xsi:type="dcterms:W3CDTF">2020-11-28T22:41:00Z</dcterms:created>
  <dcterms:modified xsi:type="dcterms:W3CDTF">2020-11-28T22:41:00Z</dcterms:modified>
</cp:coreProperties>
</file>